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244" w:right="0" w:firstLine="0"/>
        <w:jc w:val="left"/>
        <w:keepLines/>
        <w:keepNext/>
        <w:rPr>
          <w:b w:val="0"/>
          <w:bCs w:val="0"/>
          <w:sz w:val="26"/>
          <w:szCs w:val="26"/>
          <w:highlight w:val="none"/>
        </w:rPr>
      </w:pPr>
      <w:r>
        <w:rPr>
          <w:b w:val="0"/>
          <w:bCs w:val="0"/>
          <w:sz w:val="26"/>
          <w:szCs w:val="26"/>
          <w:highlight w:val="none"/>
        </w:rPr>
        <w:t xml:space="preserve">Приложение №1 к Документации о закупке</w:t>
      </w:r>
      <w:r>
        <w:rPr>
          <w:b w:val="0"/>
          <w:bCs w:val="0"/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  <w:t xml:space="preserve">Технические требования на оказание услуг</w:t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  <w:r>
        <w:rPr>
          <w:rFonts w:eastAsia="Calibri"/>
          <w:b/>
          <w:sz w:val="26"/>
          <w:szCs w:val="26"/>
          <w:highlight w:val="none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1056"/>
          <w:sz w:val="26"/>
          <w:szCs w:val="26"/>
          <w:highlight w:val="none"/>
        </w:rPr>
      </w:pPr>
      <w:r>
        <w:rPr>
          <w:rFonts w:eastAsia="Calibri"/>
          <w:sz w:val="26"/>
          <w:szCs w:val="26"/>
          <w:highlight w:val="none"/>
        </w:rPr>
        <w:t xml:space="preserve">«ОКПД2 33.13.11.000 Оказание услуг по обслуживанию системы химико-технологического мониторинга для Владивостокской ТЭЦ-2, г. Владивосток</w:t>
      </w:r>
      <w:r>
        <w:rPr>
          <w:rFonts w:eastAsia="Calibri"/>
          <w:b/>
          <w:i/>
          <w:sz w:val="26"/>
          <w:szCs w:val="26"/>
          <w:highlight w:val="none"/>
        </w:rPr>
        <w:t xml:space="preserve">»</w:t>
      </w:r>
      <w:r>
        <w:rPr>
          <w:rStyle w:val="1056"/>
          <w:sz w:val="26"/>
          <w:szCs w:val="26"/>
          <w:highlight w:val="none"/>
        </w:rPr>
      </w:r>
      <w:r>
        <w:rPr>
          <w:rStyle w:val="1056"/>
          <w:sz w:val="26"/>
          <w:szCs w:val="26"/>
          <w:highlight w:val="none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1056"/>
          <w:sz w:val="26"/>
          <w:szCs w:val="26"/>
          <w:highlight w:val="none"/>
        </w:rPr>
      </w:pPr>
      <w:r>
        <w:rPr>
          <w:rStyle w:val="1056"/>
          <w:sz w:val="26"/>
          <w:szCs w:val="26"/>
          <w:highlight w:val="none"/>
        </w:rPr>
      </w:r>
      <w:r>
        <w:rPr>
          <w:rStyle w:val="1056"/>
          <w:sz w:val="26"/>
          <w:szCs w:val="26"/>
          <w:highlight w:val="none"/>
        </w:rPr>
      </w:r>
      <w:r>
        <w:rPr>
          <w:rStyle w:val="1056"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  <w:highlight w:val="none"/>
        </w:rPr>
      </w:pPr>
      <w:r>
        <w:rPr>
          <w:rFonts w:eastAsia="Calibri"/>
          <w:b/>
          <w:sz w:val="26"/>
          <w:szCs w:val="26"/>
          <w:highlight w:val="none"/>
        </w:rPr>
        <w:t xml:space="preserve">Лот № _ 41040011-ТО ПРОД-2026-ДГК-ВТЭЦ2</w:t>
      </w:r>
      <w:r>
        <w:rPr>
          <w:rFonts w:eastAsia="Calibri"/>
          <w:b/>
          <w:i/>
          <w:sz w:val="26"/>
          <w:szCs w:val="26"/>
          <w:highlight w:val="none"/>
        </w:rPr>
      </w:r>
      <w:r>
        <w:rPr>
          <w:rFonts w:eastAsia="Calibri"/>
          <w:b/>
          <w:i/>
          <w:sz w:val="26"/>
          <w:szCs w:val="26"/>
          <w:highlight w:val="none"/>
        </w:rPr>
      </w:r>
    </w:p>
    <w:p>
      <w:pPr>
        <w:jc w:val="both"/>
        <w:keepLines/>
        <w:keepNext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br w:type="page" w:clear="all"/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commentRangeStart w:id="0"/>
      <w:r>
        <w:rPr>
          <w:b/>
          <w:highlight w:val="none"/>
        </w:rPr>
        <w:t xml:space="preserve">СОДЕРЖАНИЕ</w:t>
      </w:r>
      <w:r>
        <w:rPr>
          <w:b/>
          <w:highlight w:val="none"/>
        </w:rPr>
      </w:r>
      <w:commentRangeEnd w:id="0"/>
      <w:r>
        <w:commentReference w:id="0"/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9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b w:val="0"/>
          <w:i/>
          <w:highlight w:val="none"/>
        </w:rPr>
        <w:fldChar w:fldCharType="begin"/>
      </w:r>
      <w:r>
        <w:rPr>
          <w:b w:val="0"/>
          <w:i/>
          <w:highlight w:val="none"/>
        </w:rPr>
        <w:instrText xml:space="preserve"> TOC \o "1-4" \h \z \u </w:instrText>
      </w:r>
      <w:r>
        <w:rPr>
          <w:b w:val="0"/>
          <w:i/>
          <w:highlight w:val="none"/>
        </w:rPr>
        <w:fldChar w:fldCharType="separate"/>
      </w:r>
      <w:hyperlink w:tooltip="#_Toc54643694" w:anchor="_Toc54643694" w:history="1">
        <w:r>
          <w:rPr>
            <w:rStyle w:val="995"/>
            <w:highlight w:val="none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995"/>
            <w:highlight w:val="none"/>
          </w:rPr>
          <w:t xml:space="preserve">Общие сведения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_Toc54643694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006"/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3695" w:anchor="_Toc54643695" w:history="1">
        <w:r>
          <w:rPr>
            <w:rStyle w:val="995"/>
            <w:iCs/>
            <w:highlight w:val="none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995"/>
            <w:highlight w:val="none"/>
          </w:rPr>
          <w:t xml:space="preserve">Обозначения и </w:t>
        </w:r>
        <w:r>
          <w:rPr>
            <w:rStyle w:val="995"/>
            <w:highlight w:val="none"/>
          </w:rPr>
          <w:t xml:space="preserve">сокращения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_Toc54643695 \h </w:instrText>
        </w:r>
        <w:r>
          <w:rPr>
            <w:highlight w:val="none"/>
          </w:rPr>
          <w:fldChar w:fldCharType="separate"/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006"/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3696" w:anchor="_Toc54643696" w:history="1">
        <w:r>
          <w:rPr>
            <w:rStyle w:val="995"/>
            <w:iCs/>
            <w:highlight w:val="none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995"/>
            <w:highlight w:val="none"/>
          </w:rPr>
          <w:t xml:space="preserve">Наименование закупаемой продукции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_Toc54643696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1006"/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3697" w:anchor="_Toc54643697" w:history="1">
        <w:r>
          <w:rPr>
            <w:rStyle w:val="995"/>
            <w:iCs/>
            <w:highlight w:val="none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995"/>
            <w:highlight w:val="none"/>
          </w:rPr>
          <w:t xml:space="preserve">Цель оказания услуг 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_Toc54643697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3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993"/>
        <w:ind w:left="567" w:right="0" w:firstLine="0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hyperlink w:tooltip="#_Toc54643699" w:anchor="_Toc54643699" w:history="1">
        <w:r>
          <w:rPr>
            <w:rStyle w:val="995"/>
            <w:b w:val="0"/>
            <w:bCs w:val="0"/>
            <w:highlight w:val="none"/>
          </w:rPr>
          <w:t xml:space="preserve">Таблица 1. Перечень объектов заказчика</w:t>
        </w:r>
        <w:r>
          <w:rPr>
            <w:b w:val="0"/>
            <w:bCs w:val="0"/>
            <w:highlight w:val="none"/>
          </w:rPr>
          <w:tab/>
        </w:r>
        <w:r>
          <w:rPr>
            <w:b w:val="0"/>
            <w:bCs w:val="0"/>
            <w:highlight w:val="none"/>
          </w:rPr>
          <w:fldChar w:fldCharType="begin"/>
        </w:r>
        <w:r>
          <w:rPr>
            <w:b w:val="0"/>
            <w:bCs w:val="0"/>
            <w:highlight w:val="none"/>
          </w:rPr>
          <w:instrText xml:space="preserve"> PAGEREF _Toc54643699 \h </w:instrText>
        </w:r>
        <w:r>
          <w:rPr>
            <w:b w:val="0"/>
            <w:bCs w:val="0"/>
            <w:highlight w:val="none"/>
          </w:rPr>
          <w:fldChar w:fldCharType="separate"/>
        </w:r>
        <w:r>
          <w:rPr>
            <w:b w:val="0"/>
            <w:bCs w:val="0"/>
            <w:highlight w:val="none"/>
          </w:rPr>
          <w:t xml:space="preserve">3</w:t>
        </w:r>
        <w:r>
          <w:rPr>
            <w:b w:val="0"/>
            <w:bCs w:val="0"/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006"/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3701" w:anchor="_Toc54643701" w:history="1">
        <w:r>
          <w:rPr>
            <w:rStyle w:val="995"/>
            <w:iCs/>
            <w:highlight w:val="none"/>
          </w:rPr>
          <w:t xml:space="preserve">1.4.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995"/>
            <w:highlight w:val="none"/>
          </w:rPr>
          <w:t xml:space="preserve">Иные требования и сведения общего характера 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_Toc54643701 \h </w:instrText>
        </w:r>
        <w:r>
          <w:rPr>
            <w:highlight w:val="none"/>
          </w:rPr>
          <w:fldChar w:fldCharType="separate"/>
          <w:t xml:space="preserve">4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99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3702" w:anchor="_Toc54643702" w:history="1">
        <w:r>
          <w:rPr>
            <w:rStyle w:val="995"/>
            <w:highlight w:val="none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995"/>
            <w:iCs/>
            <w:highlight w:val="none"/>
          </w:rPr>
          <w:t xml:space="preserve">Требования к продукции</w:t>
        </w:r>
        <w:r>
          <w:rPr>
            <w:highlight w:val="none"/>
          </w:rPr>
          <w:tab/>
        </w:r>
        <w:r>
          <w:rPr>
            <w:highlight w:val="none"/>
          </w:rP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006"/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3703" w:anchor="_Toc54643703" w:history="1">
        <w:r>
          <w:rPr>
            <w:rStyle w:val="995"/>
            <w:iCs/>
            <w:highlight w:val="none"/>
          </w:rPr>
          <w:t xml:space="preserve">2.1.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995"/>
            <w:highlight w:val="none"/>
          </w:rPr>
          <w:t xml:space="preserve">Требования к объемам и срокам оказания услуг</w:t>
        </w:r>
        <w:r>
          <w:rPr>
            <w:highlight w:val="none"/>
          </w:rPr>
          <w:tab/>
          <w:t xml:space="preserve">4</w:t>
        </w:r>
        <w:r>
          <w:rPr>
            <w:highlight w:val="none"/>
          </w:rPr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994"/>
        <w:ind w:left="567" w:right="0" w:firstLine="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highlight w:val="none"/>
        </w:rPr>
      </w:pPr>
      <w:r>
        <w:rPr>
          <w:highlight w:val="none"/>
        </w:rPr>
      </w:r>
      <w:hyperlink w:tooltip="#_Toc54643704" w:anchor="_Toc54643704" w:history="1">
        <w:r>
          <w:rPr>
            <w:rStyle w:val="995"/>
            <w:highlight w:val="none"/>
          </w:rPr>
          <w:t xml:space="preserve">2.1.1.</w:t>
        </w:r>
        <w:r>
          <w:rPr>
            <w:rFonts w:asciiTheme="minorHAnsi" w:hAnsiTheme="minorHAnsi" w:eastAsiaTheme="minorEastAsia" w:cstheme="minorBidi"/>
            <w:sz w:val="24"/>
            <w:szCs w:val="24"/>
            <w:highlight w:val="none"/>
          </w:rPr>
          <w:tab/>
        </w:r>
        <w:r>
          <w:rPr>
            <w:rStyle w:val="995"/>
            <w:highlight w:val="none"/>
          </w:rPr>
          <w:t xml:space="preserve">Требования к перечню и объ</w:t>
        </w:r>
        <w:r>
          <w:rPr>
            <w:rStyle w:val="995"/>
            <w:highlight w:val="none"/>
          </w:rPr>
          <w:t xml:space="preserve">ему услуг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_Toc54643704 \h </w:instrText>
        </w:r>
        <w:r>
          <w:rPr>
            <w:highlight w:val="none"/>
          </w:rPr>
          <w:fldChar w:fldCharType="separate"/>
          <w:t xml:space="preserve">4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sz w:val="24"/>
          <w:szCs w:val="24"/>
          <w:highlight w:val="none"/>
        </w:rPr>
      </w:r>
    </w:p>
    <w:p>
      <w:pPr>
        <w:pStyle w:val="993"/>
        <w:ind w:left="567" w:right="0" w:firstLine="0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hyperlink w:tooltip="#_Toc54643705" w:anchor="_Toc54643705" w:history="1">
        <w:r>
          <w:rPr>
            <w:rStyle w:val="995"/>
            <w:b w:val="0"/>
            <w:bCs w:val="0"/>
            <w:highlight w:val="none"/>
          </w:rPr>
          <w:t xml:space="preserve">Таблица 2. Перечень и объем оказываемых услуг</w:t>
        </w:r>
        <w:r>
          <w:rPr>
            <w:b w:val="0"/>
            <w:bCs w:val="0"/>
            <w:highlight w:val="none"/>
          </w:rPr>
          <w:tab/>
        </w:r>
        <w:r>
          <w:rPr>
            <w:b w:val="0"/>
            <w:bCs w:val="0"/>
            <w:highlight w:val="none"/>
          </w:rP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994"/>
        <w:ind w:left="567" w:right="0" w:firstLine="0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highlight w:val="none"/>
        </w:rPr>
      </w:r>
      <w:hyperlink w:tooltip="#_Toc54643706" w:anchor="_Toc54643706" w:history="1">
        <w:r>
          <w:rPr>
            <w:rStyle w:val="995"/>
            <w:b w:val="0"/>
            <w:bCs w:val="0"/>
            <w:highlight w:val="none"/>
          </w:rPr>
          <w:t xml:space="preserve">2.1.2.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  <w:highlight w:val="none"/>
          </w:rPr>
          <w:tab/>
        </w:r>
        <w:r>
          <w:rPr>
            <w:rStyle w:val="995"/>
            <w:b w:val="0"/>
            <w:bCs w:val="0"/>
            <w:highlight w:val="none"/>
          </w:rPr>
          <w:t xml:space="preserve">Требования к срокам оказания услуг</w:t>
        </w:r>
        <w:r>
          <w:rPr>
            <w:b w:val="0"/>
            <w:bCs w:val="0"/>
            <w:highlight w:val="none"/>
          </w:rPr>
          <w:tab/>
        </w:r>
        <w:r>
          <w:rPr>
            <w:b w:val="0"/>
            <w:bCs w:val="0"/>
            <w:highlight w:val="none"/>
          </w:rPr>
          <w:t xml:space="preserve">4</w:t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none"/>
        </w:rPr>
      </w:r>
    </w:p>
    <w:p>
      <w:pPr>
        <w:pStyle w:val="993"/>
        <w:ind w:left="567" w:right="0" w:firstLine="0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hyperlink w:tooltip="#_Toc54643707" w:anchor="_Toc54643707" w:history="1">
        <w:r>
          <w:rPr>
            <w:rStyle w:val="995"/>
            <w:b w:val="0"/>
            <w:bCs w:val="0"/>
            <w:highlight w:val="none"/>
          </w:rPr>
          <w:t xml:space="preserve">Таблица 3. Требования к срокам оказания услуг</w:t>
        </w:r>
        <w:r>
          <w:rPr>
            <w:b w:val="0"/>
            <w:bCs w:val="0"/>
            <w:highlight w:val="none"/>
          </w:rPr>
          <w:tab/>
          <w:t xml:space="preserve">4</w:t>
        </w:r>
        <w:r>
          <w:rPr>
            <w:b w:val="0"/>
            <w:bCs w:val="0"/>
            <w:highlight w:val="none"/>
          </w:rPr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1006"/>
        <w:ind w:left="567" w:right="0" w:firstLine="0"/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highlight w:val="none"/>
        </w:rPr>
      </w:r>
      <w:hyperlink w:tooltip="#_Toc54643708" w:anchor="_Toc54643708" w:history="1">
        <w:r>
          <w:rPr>
            <w:rStyle w:val="995"/>
            <w:b w:val="0"/>
            <w:bCs w:val="0"/>
            <w:iCs/>
            <w:highlight w:val="none"/>
          </w:rPr>
          <w:t xml:space="preserve">2.2.</w:t>
        </w:r>
        <w:r>
          <w:rPr>
            <w:rFonts w:asciiTheme="minorHAnsi" w:hAnsiTheme="minorHAnsi" w:eastAsiaTheme="minorEastAsia" w:cstheme="minorBidi"/>
            <w:b w:val="0"/>
            <w:bCs w:val="0"/>
            <w:sz w:val="24"/>
            <w:szCs w:val="24"/>
            <w:highlight w:val="none"/>
          </w:rPr>
          <w:tab/>
        </w:r>
        <w:r>
          <w:rPr>
            <w:rStyle w:val="995"/>
            <w:b w:val="0"/>
            <w:bCs w:val="0"/>
            <w:highlight w:val="none"/>
          </w:rPr>
          <w:t xml:space="preserve">Требования к качеству услуг</w:t>
        </w:r>
        <w:r>
          <w:rPr>
            <w:b w:val="0"/>
            <w:bCs w:val="0"/>
            <w:highlight w:val="none"/>
          </w:rPr>
          <w:tab/>
        </w:r>
        <w:r>
          <w:rPr>
            <w:b w:val="0"/>
            <w:bCs w:val="0"/>
            <w:highlight w:val="none"/>
          </w:rPr>
          <w:fldChar w:fldCharType="begin"/>
        </w:r>
        <w:r>
          <w:rPr>
            <w:b w:val="0"/>
            <w:bCs w:val="0"/>
            <w:highlight w:val="none"/>
          </w:rPr>
          <w:instrText xml:space="preserve"> PAGEREF _Toc54643708 \h </w:instrText>
        </w:r>
        <w:r>
          <w:rPr>
            <w:b w:val="0"/>
            <w:bCs w:val="0"/>
            <w:highlight w:val="none"/>
          </w:rPr>
          <w:fldChar w:fldCharType="separate"/>
        </w:r>
        <w:r>
          <w:rPr>
            <w:b w:val="0"/>
            <w:bCs w:val="0"/>
            <w:highlight w:val="none"/>
          </w:rPr>
          <w:t xml:space="preserve">6</w:t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highlight w:val="none"/>
        </w:rPr>
      </w:r>
    </w:p>
    <w:p>
      <w:pPr>
        <w:pStyle w:val="993"/>
        <w:ind w:left="567" w:right="0" w:firstLine="0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hyperlink w:tooltip="#_Toc54643709" w:anchor="_Toc54643709" w:history="1">
        <w:r>
          <w:rPr>
            <w:rStyle w:val="995"/>
            <w:b w:val="0"/>
            <w:bCs w:val="0"/>
            <w:highlight w:val="none"/>
          </w:rPr>
          <w:t xml:space="preserve">Таблица 4. Требования к качес</w:t>
        </w:r>
        <w:r>
          <w:rPr>
            <w:rStyle w:val="995"/>
            <w:b w:val="0"/>
            <w:bCs w:val="0"/>
            <w:highlight w:val="none"/>
          </w:rPr>
          <w:t xml:space="preserve">тву услуг</w:t>
        </w:r>
        <w:r>
          <w:rPr>
            <w:b w:val="0"/>
            <w:bCs w:val="0"/>
            <w:highlight w:val="none"/>
          </w:rPr>
          <w:tab/>
        </w:r>
        <w:r>
          <w:rPr>
            <w:b w:val="0"/>
            <w:bCs w:val="0"/>
            <w:highlight w:val="none"/>
          </w:rPr>
          <w:t xml:space="preserve">6</w:t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99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3710" w:anchor="_Toc54643710" w:history="1">
        <w:r>
          <w:rPr>
            <w:rStyle w:val="995"/>
            <w:highlight w:val="none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995"/>
            <w:highlight w:val="none"/>
          </w:rPr>
          <w:t xml:space="preserve">Требования к документации по ценообразованию на этапе закупки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_Toc54643710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11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99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3711" w:anchor="_Toc54643711" w:history="1">
        <w:r>
          <w:rPr>
            <w:rStyle w:val="995"/>
            <w:highlight w:val="none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995"/>
            <w:highlight w:val="none"/>
          </w:rPr>
          <w:t xml:space="preserve">Требования к документации по ценообразованию на этапе заключения (исполнения) договора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_Toc54643711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11</w:t>
        </w:r>
        <w:r>
          <w:rPr>
            <w:highlight w:val="none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993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highlight w:val="none"/>
        </w:rPr>
      </w:r>
      <w:hyperlink w:tooltip="#_Toc54643712" w:anchor="_Toc54643712" w:history="1">
        <w:r>
          <w:rPr>
            <w:rStyle w:val="995"/>
            <w:highlight w:val="none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  <w:highlight w:val="none"/>
          </w:rPr>
          <w:tab/>
        </w:r>
        <w:r>
          <w:rPr>
            <w:rStyle w:val="995"/>
            <w:iCs/>
            <w:highlight w:val="none"/>
          </w:rPr>
          <w:t xml:space="preserve">Приложения</w:t>
        </w:r>
        <w:r>
          <w:rPr>
            <w:highlight w:val="none"/>
          </w:rPr>
          <w:tab/>
        </w:r>
        <w:r>
          <w:rPr>
            <w:highlight w:val="none"/>
          </w:rPr>
          <w:fldChar w:fldCharType="begin"/>
        </w:r>
        <w:r>
          <w:rPr>
            <w:highlight w:val="none"/>
          </w:rPr>
          <w:instrText xml:space="preserve"> PAGEREF _Toc54643712 \h </w:instrText>
        </w:r>
        <w:r>
          <w:rPr>
            <w:highlight w:val="none"/>
          </w:rPr>
          <w:fldChar w:fldCharType="separate"/>
        </w:r>
        <w:r>
          <w:rPr>
            <w:highlight w:val="none"/>
          </w:rPr>
          <w:t xml:space="preserve">11</w:t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993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highlight w:val="none"/>
        </w:rPr>
      </w:pP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  <w:r>
        <w:rPr>
          <w:rFonts w:asciiTheme="minorHAnsi" w:hAnsiTheme="minorHAnsi" w:eastAsiaTheme="minorEastAsia" w:cstheme="minorBidi"/>
          <w:b w:val="0"/>
          <w:bCs w:val="0"/>
          <w:highlight w:val="none"/>
        </w:rPr>
      </w:r>
    </w:p>
    <w:p>
      <w:pPr>
        <w:pStyle w:val="815"/>
        <w:numPr>
          <w:ilvl w:val="0"/>
          <w:numId w:val="0"/>
        </w:numPr>
        <w:rPr>
          <w:b w:val="0"/>
          <w:i/>
          <w:highlight w:val="none"/>
        </w:rPr>
      </w:pPr>
      <w:r>
        <w:rPr>
          <w:rFonts w:eastAsia="Times New Roman" w:cs="Calibri Light (Заголовки)"/>
          <w:b w:val="0"/>
          <w:i/>
          <w:highlight w:val="none"/>
        </w:rPr>
        <w:fldChar w:fldCharType="end"/>
      </w:r>
      <w:r>
        <w:rPr>
          <w:b w:val="0"/>
          <w:i/>
          <w:highlight w:val="none"/>
        </w:rPr>
      </w:r>
      <w:r>
        <w:rPr>
          <w:b w:val="0"/>
          <w:i/>
          <w:highlight w:val="none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  <w:highlight w:val="none"/>
        </w:rPr>
      </w:pPr>
      <w:r>
        <w:rPr>
          <w:rFonts w:eastAsia="Calibri"/>
          <w:b/>
          <w:i/>
          <w:sz w:val="24"/>
          <w:szCs w:val="24"/>
          <w:highlight w:val="none"/>
        </w:rPr>
        <w:br w:type="page" w:clear="all"/>
      </w:r>
      <w:r>
        <w:rPr>
          <w:rFonts w:eastAsia="Calibri"/>
          <w:b/>
          <w:i/>
          <w:sz w:val="24"/>
          <w:szCs w:val="24"/>
          <w:highlight w:val="none"/>
        </w:rPr>
      </w:r>
      <w:r>
        <w:rPr>
          <w:rFonts w:eastAsia="Calibri"/>
          <w:b/>
          <w:i/>
          <w:sz w:val="24"/>
          <w:szCs w:val="24"/>
          <w:highlight w:val="none"/>
        </w:rPr>
      </w:r>
    </w:p>
    <w:p>
      <w:pPr>
        <w:pStyle w:val="814"/>
        <w:ind w:left="357" w:hanging="357"/>
        <w:jc w:val="center"/>
        <w:keepLines/>
        <w:rPr>
          <w:caps/>
          <w:highlight w:val="none"/>
        </w:rPr>
      </w:pPr>
      <w:r>
        <w:rPr>
          <w:highlight w:val="none"/>
        </w:rPr>
      </w:r>
      <w:bookmarkStart w:id="0" w:name="_Toc54643694"/>
      <w:r>
        <w:rPr>
          <w:highlight w:val="none"/>
        </w:rPr>
        <w:t xml:space="preserve">Общие сведения</w:t>
      </w:r>
      <w:bookmarkEnd w:id="0"/>
      <w:r>
        <w:rPr>
          <w:caps/>
          <w:highlight w:val="none"/>
        </w:rPr>
      </w:r>
      <w:r>
        <w:rPr>
          <w:caps/>
          <w:highlight w:val="none"/>
        </w:rPr>
      </w:r>
    </w:p>
    <w:p>
      <w:pPr>
        <w:pStyle w:val="817"/>
        <w:rPr>
          <w:highlight w:val="none"/>
        </w:rPr>
      </w:pPr>
      <w:r>
        <w:rPr>
          <w:highlight w:val="none"/>
        </w:rPr>
      </w:r>
      <w:bookmarkStart w:id="1" w:name="_Toc46743505"/>
      <w:r>
        <w:rPr>
          <w:highlight w:val="none"/>
        </w:rPr>
      </w:r>
      <w:bookmarkStart w:id="2" w:name="_Toc54643695"/>
      <w:r>
        <w:rPr>
          <w:highlight w:val="none"/>
        </w:rPr>
        <w:t xml:space="preserve">Обозначения и сокращения</w:t>
      </w:r>
      <w:bookmarkEnd w:id="1"/>
      <w:r>
        <w:rPr>
          <w:highlight w:val="none"/>
        </w:rPr>
      </w:r>
      <w:bookmarkEnd w:id="2"/>
      <w:r>
        <w:rPr>
          <w:highlight w:val="none"/>
        </w:rPr>
      </w:r>
      <w:r>
        <w:rPr>
          <w:highlight w:val="none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pP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  <w:t xml:space="preserve">СП</w:t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pP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  <w:t xml:space="preserve">Структурное подразделение</w:t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pP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  <w:t xml:space="preserve">ГОСТ</w:t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pP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  <w:t xml:space="preserve">Государственный стандарт</w:t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  <w:r>
              <w:rPr>
                <w:rStyle w:val="1056"/>
                <w:b w:val="0"/>
                <w:bCs/>
                <w:i w:val="0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sz w:val="24"/>
                <w:szCs w:val="24"/>
                <w:highlight w:val="none"/>
              </w:rPr>
            </w:pP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  <w:t xml:space="preserve">ПУЭ</w:t>
            </w: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</w: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sz w:val="24"/>
                <w:szCs w:val="24"/>
                <w:highlight w:val="none"/>
              </w:rPr>
            </w:pP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  <w:t xml:space="preserve">Правила устройства электроустановок</w:t>
            </w: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</w:r>
            <w:r>
              <w:rPr>
                <w:b w:val="0"/>
                <w:bCs/>
                <w:i w:val="0"/>
                <w:sz w:val="24"/>
                <w:szCs w:val="24"/>
                <w:highlight w:val="none"/>
              </w:rPr>
            </w:r>
          </w:p>
        </w:tc>
      </w:tr>
    </w:tbl>
    <w:p>
      <w:pPr>
        <w:keepLines/>
        <w:keepNext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7"/>
        <w:rPr>
          <w:highlight w:val="none"/>
        </w:rPr>
      </w:pPr>
      <w:r>
        <w:rPr>
          <w:highlight w:val="none"/>
        </w:rPr>
      </w:r>
      <w:bookmarkStart w:id="4" w:name="_Toc54643696"/>
      <w:r>
        <w:rPr>
          <w:highlight w:val="none"/>
        </w:rPr>
        <w:t xml:space="preserve">Наименование закупаемой продукции</w:t>
      </w:r>
      <w:bookmarkEnd w:id="4"/>
      <w:r>
        <w:rPr>
          <w:highlight w:val="none"/>
        </w:rPr>
      </w:r>
      <w:r>
        <w:rPr>
          <w:highlight w:val="none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1056"/>
          <w:b w:val="0"/>
          <w:bCs/>
          <w:sz w:val="24"/>
          <w:szCs w:val="24"/>
          <w:highlight w:val="none"/>
        </w:rPr>
      </w:pPr>
      <w:r>
        <w:rPr>
          <w:highlight w:val="none"/>
        </w:rPr>
      </w:r>
      <w:bookmarkStart w:id="5" w:name="_Toc46743507"/>
      <w:r>
        <w:rPr>
          <w:rFonts w:eastAsia="Calibri"/>
          <w:i/>
          <w:sz w:val="24"/>
          <w:szCs w:val="24"/>
          <w:highlight w:val="none"/>
        </w:rPr>
        <w:t xml:space="preserve">«</w:t>
      </w:r>
      <w:r>
        <w:rPr>
          <w:rFonts w:eastAsia="Calibri"/>
          <w:i/>
          <w:sz w:val="24"/>
          <w:szCs w:val="24"/>
          <w:highlight w:val="none"/>
        </w:rPr>
        <w:t xml:space="preserve">ОКПД2 26.51.53.149 Оказание услуг по обслуживанию системы химико-технологического мониторинга для Владивостокской ТЭЦ-2, г. Владивосток»</w:t>
      </w:r>
      <w:r>
        <w:rPr>
          <w:rStyle w:val="1056"/>
          <w:b w:val="0"/>
          <w:bCs/>
          <w:sz w:val="24"/>
          <w:szCs w:val="24"/>
          <w:highlight w:val="none"/>
        </w:rPr>
      </w:r>
      <w:r>
        <w:rPr>
          <w:rStyle w:val="1056"/>
          <w:b w:val="0"/>
          <w:bCs/>
          <w:sz w:val="24"/>
          <w:szCs w:val="24"/>
          <w:highlight w:val="none"/>
        </w:rPr>
      </w:r>
    </w:p>
    <w:p>
      <w:pPr>
        <w:pStyle w:val="817"/>
        <w:ind w:left="431" w:hanging="431"/>
        <w:spacing w:before="240"/>
        <w:rPr>
          <w:highlight w:val="none"/>
        </w:rPr>
      </w:pPr>
      <w:r>
        <w:rPr>
          <w:highlight w:val="none"/>
        </w:rPr>
        <w:t xml:space="preserve">Цель </w:t>
      </w:r>
      <w:bookmarkEnd w:id="5"/>
      <w:r>
        <w:rPr>
          <w:highlight w:val="none"/>
        </w:rPr>
        <w:t xml:space="preserve">оказания услуг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Целью оказания услуг</w:t>
      </w:r>
      <w:r>
        <w:rPr>
          <w:sz w:val="24"/>
          <w:szCs w:val="24"/>
          <w:highlight w:val="none"/>
        </w:rPr>
        <w:t xml:space="preserve">и является проведение </w:t>
      </w:r>
      <w:r>
        <w:rPr>
          <w:sz w:val="24"/>
          <w:szCs w:val="24"/>
        </w:rPr>
        <w:t xml:space="preserve">обслуживания </w:t>
      </w:r>
      <w:r>
        <w:rPr>
          <w:sz w:val="24"/>
          <w:szCs w:val="24"/>
          <w:highlight w:val="none"/>
        </w:rPr>
        <w:t xml:space="preserve">приборов</w:t>
      </w:r>
      <w:r>
        <w:rPr>
          <w:sz w:val="24"/>
          <w:szCs w:val="24"/>
          <w:highlight w:val="none"/>
        </w:rPr>
        <w:t xml:space="preserve"> химико-</w:t>
      </w:r>
      <w:r>
        <w:rPr>
          <w:sz w:val="24"/>
          <w:szCs w:val="24"/>
          <w:highlight w:val="white"/>
        </w:rPr>
        <w:t xml:space="preserve">технологического мониторинга </w:t>
      </w:r>
      <w:r>
        <w:rPr>
          <w:sz w:val="24"/>
          <w:szCs w:val="24"/>
          <w:highlight w:val="white"/>
        </w:rPr>
        <w:t xml:space="preserve">водно-химического </w:t>
      </w:r>
      <w:r>
        <w:rPr>
          <w:sz w:val="24"/>
          <w:szCs w:val="24"/>
          <w:highlight w:val="white"/>
        </w:rPr>
        <w:t xml:space="preserve">режима </w:t>
      </w:r>
      <w:r>
        <w:rPr>
          <w:sz w:val="24"/>
          <w:szCs w:val="24"/>
          <w:highlight w:val="white"/>
        </w:rPr>
        <w:t xml:space="preserve">котлоагрегатов </w:t>
      </w:r>
      <w:r>
        <w:rPr>
          <w:sz w:val="24"/>
          <w:szCs w:val="24"/>
          <w:highlight w:val="white"/>
        </w:rPr>
        <w:t xml:space="preserve">ст. </w:t>
      </w:r>
      <w:r>
        <w:rPr>
          <w:sz w:val="24"/>
          <w:szCs w:val="24"/>
          <w:highlight w:val="white"/>
        </w:rPr>
        <w:t xml:space="preserve">№ </w:t>
      </w:r>
      <w:r>
        <w:rPr>
          <w:sz w:val="24"/>
          <w:szCs w:val="24"/>
          <w:highlight w:val="white"/>
        </w:rPr>
        <w:t xml:space="preserve">1, 2 и турбоагрегатов</w:t>
      </w:r>
      <w:r>
        <w:rPr>
          <w:sz w:val="24"/>
          <w:szCs w:val="24"/>
          <w:highlight w:val="white"/>
        </w:rPr>
        <w:t xml:space="preserve"> ст. № 1, 2 </w:t>
      </w:r>
      <w:r>
        <w:rPr>
          <w:sz w:val="24"/>
          <w:szCs w:val="24"/>
          <w:highlight w:val="white"/>
        </w:rPr>
        <w:t xml:space="preserve">СП «Владивостокс</w:t>
      </w:r>
      <w:r>
        <w:rPr>
          <w:sz w:val="24"/>
          <w:szCs w:val="24"/>
          <w:highlight w:val="white"/>
        </w:rPr>
        <w:t xml:space="preserve">кой ТЭЦ-2» </w:t>
      </w:r>
      <w:r>
        <w:rPr>
          <w:sz w:val="24"/>
          <w:szCs w:val="24"/>
          <w:highlight w:val="white"/>
        </w:rPr>
        <w:t xml:space="preserve">с заменой дефектных узлов и деталей </w:t>
      </w:r>
      <w:r>
        <w:rPr>
          <w:sz w:val="24"/>
          <w:szCs w:val="24"/>
        </w:rPr>
        <w:t xml:space="preserve">для автоматического контроля и ведения водно-химического режима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14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highlight w:val="none"/>
        </w:rPr>
      </w:r>
      <w:bookmarkStart w:id="7" w:name="_Toc54643699"/>
      <w:r>
        <w:rPr>
          <w:sz w:val="24"/>
          <w:szCs w:val="24"/>
          <w:highlight w:val="none"/>
        </w:rPr>
        <w:t xml:space="preserve">Таблица 1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Перечень объектов заказчика</w:t>
      </w:r>
      <w:bookmarkEnd w:id="7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100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364"/>
        <w:gridCol w:w="1951"/>
        <w:gridCol w:w="2376"/>
        <w:gridCol w:w="1525"/>
      </w:tblGrid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№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п/п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36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объекта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Расположение объекта </w:t>
            </w:r>
            <w:r>
              <w:rPr>
                <w:sz w:val="24"/>
                <w:szCs w:val="24"/>
                <w:highlight w:val="none"/>
              </w:rPr>
              <w:br/>
            </w:r>
            <w:r>
              <w:rPr>
                <w:i/>
                <w:iCs/>
                <w:sz w:val="24"/>
                <w:szCs w:val="24"/>
                <w:highlight w:val="none"/>
              </w:rPr>
              <w:t xml:space="preserve">(место </w:t>
            </w:r>
            <w:r>
              <w:rPr>
                <w:i/>
                <w:iCs/>
                <w:sz w:val="24"/>
                <w:szCs w:val="24"/>
                <w:highlight w:val="none"/>
              </w:rPr>
              <w:t xml:space="preserve">оказания услуг)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  <w:highlight w:val="none"/>
              </w:rPr>
              <w:br/>
              <w:t xml:space="preserve">(в отношении которого оказываются услуги)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52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Примечания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36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2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195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4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152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5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18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3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336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  <w:t xml:space="preserve">Котлоагрегат</w:t>
            </w:r>
            <w:r>
              <w:rPr>
                <w:i/>
                <w:sz w:val="24"/>
                <w:szCs w:val="24"/>
                <w:highlight w:val="none"/>
              </w:rPr>
              <w:t xml:space="preserve"> ст. № 1, 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5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г. Владивосток, ул. Фадеева, 47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Кондуктометр МАРК 602 (1 канал) - 14 шт.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25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3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3364" w:type="dxa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Т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р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боагрегат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ст.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№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1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,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2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5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г. Владивосток, ул. Фадеева, 47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Кондуктометр МАРК 602 (1 канал) - 12 шт.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25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99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3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3364" w:type="dxa"/>
            <w:vMerge w:val="restart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Т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р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боагрегат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ст.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№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1, 2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5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г. Владивосток, ул. Фадеева, 47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Кислородомер МАРК-409 </w:t>
            </w:r>
            <w:r>
              <w:rPr>
                <w:sz w:val="24"/>
                <w:szCs w:val="24"/>
                <w:highlight w:val="white"/>
              </w:rPr>
              <w:t xml:space="preserve">(1 канал)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- 11 шт.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25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81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3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336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  <w:t xml:space="preserve">Котлоагрегат</w:t>
            </w:r>
            <w:r>
              <w:rPr>
                <w:i/>
                <w:sz w:val="24"/>
                <w:szCs w:val="24"/>
                <w:highlight w:val="none"/>
              </w:rPr>
              <w:t xml:space="preserve"> ст. № 1, 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5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г. Владивосток, ул. Фадеева, 47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рН-метр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МАРК</w:t>
            </w:r>
            <w:r>
              <w:rPr>
                <w:sz w:val="24"/>
                <w:szCs w:val="24"/>
                <w:highlight w:val="white"/>
              </w:rPr>
              <w:t xml:space="preserve">-902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(1 канал) - 14 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81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3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336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  <w:t xml:space="preserve">Котлоагрегат</w:t>
            </w:r>
            <w:r>
              <w:rPr>
                <w:i/>
                <w:sz w:val="24"/>
                <w:szCs w:val="24"/>
                <w:highlight w:val="none"/>
              </w:rPr>
              <w:t xml:space="preserve"> ст. № 1, 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5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г. Владивосток, ул. Фадеева, 47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Na-мер МАРК-1002</w:t>
            </w:r>
            <w:r>
              <w:rPr>
                <w:sz w:val="24"/>
                <w:szCs w:val="24"/>
                <w:highlight w:val="white"/>
              </w:rPr>
              <w:t xml:space="preserve">(1 канал) </w:t>
            </w:r>
            <w:r>
              <w:rPr>
                <w:sz w:val="24"/>
                <w:szCs w:val="24"/>
                <w:highlight w:val="white"/>
              </w:rPr>
              <w:t xml:space="preserve">- 13 шт.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81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3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336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  <w:t xml:space="preserve">Котлоагрегат</w:t>
            </w:r>
            <w:r>
              <w:rPr>
                <w:i/>
                <w:sz w:val="24"/>
                <w:szCs w:val="24"/>
                <w:highlight w:val="none"/>
              </w:rPr>
              <w:t xml:space="preserve"> ст. № 1, 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195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г. Владивосток, ул. Фадеева, 47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Анализатор кремния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МАРК-1202К-010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(1 канал) </w:t>
            </w:r>
            <w:r>
              <w:rPr>
                <w:sz w:val="24"/>
                <w:szCs w:val="24"/>
                <w:highlight w:val="white"/>
              </w:rPr>
              <w:t xml:space="preserve">- 2 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25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81"/>
        </w:trPr>
        <w:tc>
          <w:tcPr>
            <w:tcW w:w="817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0"/>
                <w:numId w:val="38"/>
              </w:num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W w:w="3364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  <w:t xml:space="preserve">Котлоагрегат</w:t>
            </w:r>
            <w:r>
              <w:rPr>
                <w:i/>
                <w:sz w:val="24"/>
                <w:szCs w:val="24"/>
                <w:highlight w:val="none"/>
              </w:rPr>
              <w:t xml:space="preserve"> ст. № 1, 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 xml:space="preserve">Т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у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р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боагрегат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ст.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№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1, 2</w:t>
            </w:r>
            <w:r>
              <w:rPr>
                <w:i/>
                <w:iCs/>
                <w:sz w:val="24"/>
                <w:szCs w:val="24"/>
                <w:highlight w:val="white"/>
              </w:rPr>
            </w:r>
            <w:r>
              <w:rPr>
                <w:i/>
                <w:i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95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г. Владивосток, ул. Фадеева, 47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Устройство подготовки пробы: 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МАРК-01мк - 36 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1525" w:type="dxa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pStyle w:val="817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 </w:t>
      </w:r>
      <w:r>
        <w:rPr>
          <w:highlight w:val="none"/>
        </w:rPr>
        <w:t xml:space="preserve">Иные требования и сведения общего характер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425"/>
        <w:jc w:val="both"/>
        <w:shd w:val="clear" w:color="ffffff" w:themeColor="background1" w:fill="ffffff" w:themeFill="background1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Участник вправе привлекать другие организации. В случае привлечения третьих лиц (Соисполнителей) к оказанию определённых видов услуг</w:t>
      </w:r>
      <w:r>
        <w:rPr>
          <w:sz w:val="24"/>
          <w:szCs w:val="24"/>
          <w:highlight w:val="none"/>
        </w:rPr>
        <w:t xml:space="preserve">, Исполнитель предоставляет Заказчику письменное подтверждение третьего лица о готовности к оказанию услуг, являющихся предметом закупки в плановые сроки. На них также распространяются все требования, заявленные в данных Технических требованиях. Испол</w:t>
      </w:r>
      <w:r>
        <w:rPr>
          <w:sz w:val="24"/>
          <w:szCs w:val="24"/>
          <w:highlight w:val="none"/>
        </w:rPr>
        <w:t xml:space="preserve">нитель обязан предоставить Заказчику информацию о квалификации специалистов третьего лица, наличия материально-технических ресурсов. Исполнитель может привлекать третьи лица только по письменному согласованию с Заказчиком и только в </w:t>
      </w:r>
      <w:r>
        <w:rPr>
          <w:sz w:val="24"/>
          <w:szCs w:val="24"/>
          <w:highlight w:val="none"/>
        </w:rPr>
        <w:t xml:space="preserve">ч</w:t>
      </w:r>
      <w:r>
        <w:rPr>
          <w:sz w:val="24"/>
          <w:szCs w:val="24"/>
          <w:highlight w:val="none"/>
        </w:rPr>
        <w:t xml:space="preserve">асти услуг, на оказание которых собственными силами у Исполнителя возможности отсутствуют. Заказчик оставляет за собой право отклонить любого из предложенных Соисполнителей. При этом привлекаемый Исполнителем Соисполнитель обязан оказывать услуги в полном </w:t>
      </w:r>
      <w:r>
        <w:rPr>
          <w:sz w:val="24"/>
          <w:szCs w:val="24"/>
          <w:highlight w:val="none"/>
        </w:rPr>
        <w:t xml:space="preserve">объёме собственными силами без привлечения третьих лиц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425"/>
        <w:jc w:val="both"/>
        <w:shd w:val="clear" w:color="ffffff" w:themeColor="background1" w:fill="ffffff" w:themeFill="background1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Доставка приборов и комплектующих для проведения </w:t>
      </w:r>
      <w:r>
        <w:rPr>
          <w:sz w:val="24"/>
          <w:szCs w:val="24"/>
          <w:highlight w:val="none"/>
        </w:rPr>
        <w:t xml:space="preserve">обслуживания в заводских условиях должна осуществляться за счет Исполнителя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425"/>
        <w:jc w:val="both"/>
        <w:shd w:val="clear" w:color="ffffff" w:themeColor="background1" w:fill="ffffff" w:themeFill="background1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4"/>
        <w:ind w:left="357" w:hanging="357"/>
        <w:jc w:val="center"/>
        <w:keepLines/>
        <w:rPr>
          <w:iCs/>
          <w:caps/>
          <w:highlight w:val="none"/>
        </w:rPr>
      </w:pPr>
      <w:r>
        <w:rPr>
          <w:highlight w:val="none"/>
        </w:rPr>
      </w:r>
      <w:bookmarkStart w:id="13" w:name="_Toc51339693"/>
      <w:r>
        <w:rPr>
          <w:highlight w:val="none"/>
        </w:rPr>
      </w:r>
      <w:bookmarkStart w:id="14" w:name="_Toc54643702"/>
      <w:r>
        <w:rPr>
          <w:iCs/>
          <w:highlight w:val="none"/>
        </w:rPr>
        <w:t xml:space="preserve">Требования</w:t>
      </w:r>
      <w:r>
        <w:rPr>
          <w:iCs/>
          <w:highlight w:val="none"/>
        </w:rPr>
        <w:t xml:space="preserve"> к продукции</w:t>
      </w:r>
      <w:bookmarkEnd w:id="13"/>
      <w:r>
        <w:rPr>
          <w:highlight w:val="none"/>
        </w:rPr>
      </w:r>
      <w:bookmarkEnd w:id="14"/>
      <w:r>
        <w:rPr>
          <w:iCs/>
          <w:caps/>
          <w:highlight w:val="none"/>
        </w:rPr>
      </w:r>
      <w:r>
        <w:rPr>
          <w:iCs/>
          <w:caps/>
          <w:highlight w:val="none"/>
        </w:rPr>
      </w:r>
    </w:p>
    <w:p>
      <w:pPr>
        <w:pStyle w:val="817"/>
        <w:rPr>
          <w:highlight w:val="none"/>
        </w:rPr>
      </w:pPr>
      <w:r>
        <w:rPr>
          <w:highlight w:val="none"/>
        </w:rPr>
      </w:r>
      <w:bookmarkStart w:id="15" w:name="_Toc54643703"/>
      <w:r>
        <w:rPr>
          <w:highlight w:val="none"/>
        </w:rPr>
        <w:t xml:space="preserve">Требования к объемам и срокам </w:t>
      </w:r>
      <w:r>
        <w:rPr>
          <w:highlight w:val="none"/>
        </w:rPr>
        <w:t xml:space="preserve">оказания услуг</w:t>
      </w:r>
      <w:bookmarkEnd w:id="15"/>
      <w:r>
        <w:rPr>
          <w:highlight w:val="none"/>
        </w:rPr>
      </w:r>
      <w:r>
        <w:rPr>
          <w:highlight w:val="none"/>
        </w:rPr>
      </w:r>
    </w:p>
    <w:p>
      <w:pPr>
        <w:pStyle w:val="816"/>
        <w:rPr>
          <w:highlight w:val="none"/>
        </w:rPr>
      </w:pPr>
      <w:r>
        <w:rPr>
          <w:highlight w:val="none"/>
        </w:rPr>
      </w:r>
      <w:bookmarkStart w:id="16" w:name="_Toc54643704"/>
      <w:r>
        <w:rPr>
          <w:highlight w:val="none"/>
        </w:rPr>
        <w:t xml:space="preserve">Требования к перечню и объему услуг</w:t>
      </w:r>
      <w:bookmarkEnd w:id="16"/>
      <w:r>
        <w:rPr>
          <w:highlight w:val="none"/>
        </w:rPr>
      </w:r>
      <w:r>
        <w:rPr>
          <w:highlight w:val="none"/>
        </w:rPr>
      </w:r>
    </w:p>
    <w:p>
      <w:pPr>
        <w:pStyle w:val="814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highlight w:val="none"/>
        </w:rPr>
      </w:r>
      <w:bookmarkStart w:id="17" w:name="_Toc51339695"/>
      <w:r>
        <w:rPr>
          <w:highlight w:val="none"/>
        </w:rPr>
      </w:r>
      <w:bookmarkStart w:id="18" w:name="_Toc54643705"/>
      <w:r>
        <w:rPr>
          <w:sz w:val="24"/>
          <w:szCs w:val="24"/>
          <w:highlight w:val="none"/>
        </w:rPr>
        <w:t xml:space="preserve">Таблица </w:t>
      </w:r>
      <w:r>
        <w:rPr>
          <w:sz w:val="24"/>
          <w:szCs w:val="24"/>
          <w:highlight w:val="none"/>
        </w:rPr>
        <w:t xml:space="preserve">2.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Перечень </w:t>
      </w:r>
      <w:bookmarkEnd w:id="17"/>
      <w:r>
        <w:rPr>
          <w:sz w:val="24"/>
          <w:szCs w:val="24"/>
          <w:highlight w:val="none"/>
        </w:rPr>
        <w:t xml:space="preserve">и объем оказываемых услуг</w:t>
      </w:r>
      <w:bookmarkEnd w:id="18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8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6283"/>
        <w:gridCol w:w="4"/>
        <w:gridCol w:w="1380"/>
        <w:gridCol w:w="3"/>
        <w:gridCol w:w="1522"/>
      </w:tblGrid>
      <w:tr>
        <w:tblPrEx/>
        <w:trPr/>
        <w:tc>
          <w:tcPr>
            <w:tcW w:w="61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№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п/п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628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Единица измерения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52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Количество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1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628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2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52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4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13" w:type="dxa"/>
            <w:textDirection w:val="lrTb"/>
            <w:noWrap w:val="false"/>
          </w:tcPr>
          <w:p>
            <w:pPr>
              <w:pStyle w:val="1025"/>
              <w:numPr>
                <w:ilvl w:val="0"/>
                <w:numId w:val="44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28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Обслуживание</w:t>
            </w:r>
            <w:r>
              <w:rPr>
                <w:sz w:val="24"/>
                <w:szCs w:val="24"/>
                <w:highlight w:val="none"/>
              </w:rPr>
              <w:t xml:space="preserve"> приборов системы химико-технологического мониторинга с выездом специалистов на место 2 раза в год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textDirection w:val="lrTb"/>
            <w:noWrap w:val="false"/>
          </w:tcPr>
          <w:p>
            <w:pPr>
              <w:jc w:val="center"/>
              <w:rPr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шт.</w:t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102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13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4"/>
              </w:numPr>
              <w:ind w:left="792" w:right="0" w:hanging="792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283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</w:t>
            </w:r>
            <w:r>
              <w:rPr>
                <w:sz w:val="24"/>
                <w:szCs w:val="24"/>
                <w:highlight w:val="none"/>
              </w:rPr>
              <w:t xml:space="preserve">бслуживание кислородомера</w:t>
            </w:r>
            <w:r>
              <w:rPr>
                <w:sz w:val="24"/>
                <w:szCs w:val="24"/>
                <w:highlight w:val="none"/>
              </w:rPr>
              <w:t xml:space="preserve"> МАРК-409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шт.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11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13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4"/>
              </w:numPr>
              <w:ind w:left="792" w:right="0" w:hanging="792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283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 к</w:t>
            </w:r>
            <w:r>
              <w:rPr>
                <w:sz w:val="24"/>
                <w:szCs w:val="24"/>
                <w:highlight w:val="none"/>
              </w:rPr>
              <w:t xml:space="preserve">ондуктометра МАРК 602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шт.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26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13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4"/>
              </w:numPr>
              <w:ind w:left="792" w:right="0" w:hanging="792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283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рН-метра МАРК-902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bCs w:val="0"/>
                <w:i w:val="0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шт.</w:t>
            </w:r>
            <w:r>
              <w:rPr>
                <w:bCs w:val="0"/>
                <w:i w:val="0"/>
                <w:highlight w:val="none"/>
              </w:rPr>
            </w:r>
            <w:r>
              <w:rPr>
                <w:bCs w:val="0"/>
                <w:i w:val="0"/>
                <w:highlight w:val="none"/>
              </w:rPr>
            </w:r>
          </w:p>
        </w:tc>
        <w:tc>
          <w:tcPr>
            <w:gridSpan w:val="2"/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14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13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4"/>
              </w:numPr>
              <w:ind w:left="792" w:right="0" w:hanging="792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283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  Na-метра </w:t>
            </w:r>
            <w:r>
              <w:rPr>
                <w:sz w:val="24"/>
                <w:szCs w:val="24"/>
                <w:highlight w:val="none"/>
              </w:rPr>
              <w:t xml:space="preserve">МАРК-1002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bCs w:val="0"/>
                <w:i w:val="0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шт.</w:t>
            </w:r>
            <w:r>
              <w:rPr>
                <w:bCs w:val="0"/>
                <w:i w:val="0"/>
                <w:highlight w:val="none"/>
              </w:rPr>
            </w:r>
            <w:r>
              <w:rPr>
                <w:bCs w:val="0"/>
                <w:i w:val="0"/>
                <w:highlight w:val="none"/>
              </w:rPr>
            </w:r>
          </w:p>
        </w:tc>
        <w:tc>
          <w:tcPr>
            <w:gridSpan w:val="2"/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13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613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4"/>
              </w:numPr>
              <w:ind w:left="792" w:right="0" w:hanging="792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283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</w:t>
            </w:r>
            <w:r>
              <w:rPr>
                <w:sz w:val="24"/>
                <w:szCs w:val="24"/>
                <w:highlight w:val="none"/>
              </w:rPr>
              <w:t xml:space="preserve"> а</w:t>
            </w:r>
            <w:r>
              <w:rPr>
                <w:sz w:val="24"/>
                <w:szCs w:val="24"/>
                <w:highlight w:val="none"/>
              </w:rPr>
              <w:t xml:space="preserve">нализатора кремния МАРК-1202К-010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bCs w:val="0"/>
                <w:i w:val="0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шт.</w:t>
            </w:r>
            <w:r>
              <w:rPr>
                <w:bCs w:val="0"/>
                <w:i w:val="0"/>
                <w:highlight w:val="none"/>
              </w:rPr>
            </w:r>
            <w:r>
              <w:rPr>
                <w:bCs w:val="0"/>
                <w:i w:val="0"/>
                <w:highlight w:val="none"/>
              </w:rPr>
            </w:r>
          </w:p>
        </w:tc>
        <w:tc>
          <w:tcPr>
            <w:gridSpan w:val="2"/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2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417"/>
        </w:trPr>
        <w:tc>
          <w:tcPr>
            <w:tcW w:w="613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4"/>
              </w:numPr>
              <w:ind w:left="792" w:right="0" w:hanging="792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283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бслуживание</w:t>
            </w:r>
            <w:r>
              <w:rPr>
                <w:sz w:val="24"/>
                <w:szCs w:val="24"/>
                <w:highlight w:val="white"/>
              </w:rPr>
              <w:t xml:space="preserve"> у</w:t>
            </w:r>
            <w:r>
              <w:rPr>
                <w:sz w:val="24"/>
                <w:szCs w:val="24"/>
                <w:highlight w:val="white"/>
              </w:rPr>
              <w:t xml:space="preserve">стройства подготовки пробы </w:t>
            </w:r>
            <w:r>
              <w:rPr>
                <w:sz w:val="24"/>
                <w:szCs w:val="24"/>
                <w:highlight w:val="white"/>
              </w:rPr>
              <w:t xml:space="preserve">МАРК-01мк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1384" w:type="dxa"/>
            <w:vMerge w:val="restart"/>
            <w:textDirection w:val="lrTb"/>
            <w:noWrap w:val="false"/>
          </w:tcPr>
          <w:p>
            <w:pPr>
              <w:jc w:val="center"/>
              <w:rPr>
                <w:bCs w:val="0"/>
                <w:i w:val="0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шт.</w:t>
            </w:r>
            <w:r>
              <w:rPr>
                <w:bCs w:val="0"/>
                <w:i w:val="0"/>
                <w:highlight w:val="none"/>
              </w:rPr>
            </w:r>
            <w:r>
              <w:rPr>
                <w:bCs w:val="0"/>
                <w:i w:val="0"/>
                <w:highlight w:val="none"/>
              </w:rPr>
            </w:r>
          </w:p>
        </w:tc>
        <w:tc>
          <w:tcPr>
            <w:gridSpan w:val="2"/>
            <w:tcW w:w="1525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  <w:highlight w:val="none"/>
              </w:rPr>
              <w:t xml:space="preserve">36</w:t>
            </w:r>
            <w:r>
              <w:rPr>
                <w:i/>
                <w:sz w:val="24"/>
                <w:szCs w:val="24"/>
                <w:highlight w:val="none"/>
              </w:rPr>
            </w:r>
            <w:r>
              <w:rPr>
                <w:i/>
                <w:sz w:val="24"/>
                <w:szCs w:val="24"/>
                <w:highlight w:val="none"/>
              </w:rPr>
            </w:r>
          </w:p>
        </w:tc>
      </w:tr>
    </w:tbl>
    <w:p>
      <w:pPr>
        <w:pStyle w:val="816"/>
        <w:rPr>
          <w:highlight w:val="none"/>
        </w:rPr>
      </w:pPr>
      <w:r>
        <w:rPr>
          <w:highlight w:val="none"/>
        </w:rPr>
      </w:r>
      <w:bookmarkStart w:id="20" w:name="_Toc51339696"/>
      <w:r>
        <w:rPr>
          <w:highlight w:val="none"/>
        </w:rPr>
      </w:r>
      <w:bookmarkStart w:id="21" w:name="_Toc54643706"/>
      <w:r>
        <w:rPr>
          <w:highlight w:val="none"/>
        </w:rPr>
        <w:t xml:space="preserve">Требования </w:t>
      </w:r>
      <w:bookmarkEnd w:id="20"/>
      <w:r>
        <w:rPr>
          <w:highlight w:val="none"/>
        </w:rPr>
        <w:t xml:space="preserve">к срокам оказания услуг</w:t>
      </w:r>
      <w:bookmarkEnd w:id="21"/>
      <w:r>
        <w:rPr>
          <w:highlight w:val="none"/>
        </w:rPr>
      </w:r>
      <w:r>
        <w:rPr>
          <w:highlight w:val="none"/>
        </w:rPr>
      </w:r>
    </w:p>
    <w:p>
      <w:pPr>
        <w:pStyle w:val="814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highlight w:val="none"/>
        </w:rPr>
      </w:r>
      <w:bookmarkStart w:id="22" w:name="_Toc50125127"/>
      <w:r>
        <w:rPr>
          <w:highlight w:val="none"/>
        </w:rPr>
      </w:r>
      <w:bookmarkStart w:id="23" w:name="_Toc51339697"/>
      <w:r>
        <w:rPr>
          <w:highlight w:val="none"/>
        </w:rPr>
      </w:r>
      <w:bookmarkStart w:id="24" w:name="_Toc54643707"/>
      <w:r>
        <w:rPr>
          <w:sz w:val="24"/>
          <w:szCs w:val="24"/>
          <w:highlight w:val="none"/>
        </w:rPr>
        <w:t xml:space="preserve">Таблица </w:t>
      </w:r>
      <w:r>
        <w:rPr>
          <w:sz w:val="24"/>
          <w:szCs w:val="24"/>
          <w:highlight w:val="none"/>
        </w:rPr>
        <w:t xml:space="preserve">3</w:t>
      </w:r>
      <w:r>
        <w:rPr>
          <w:sz w:val="24"/>
          <w:szCs w:val="24"/>
          <w:highlight w:val="none"/>
        </w:rPr>
        <w:t xml:space="preserve">. </w:t>
      </w:r>
      <w:bookmarkStart w:id="25" w:name="_Hlk50465284"/>
      <w:r>
        <w:rPr>
          <w:sz w:val="24"/>
          <w:szCs w:val="24"/>
          <w:highlight w:val="none"/>
        </w:rPr>
        <w:t xml:space="preserve">Требования </w:t>
      </w:r>
      <w:r>
        <w:rPr>
          <w:sz w:val="24"/>
          <w:szCs w:val="24"/>
          <w:highlight w:val="none"/>
        </w:rPr>
        <w:t xml:space="preserve">к</w:t>
      </w:r>
      <w:r>
        <w:rPr>
          <w:sz w:val="24"/>
          <w:szCs w:val="24"/>
          <w:highlight w:val="none"/>
        </w:rPr>
        <w:t xml:space="preserve"> срокам </w:t>
      </w:r>
      <w:bookmarkEnd w:id="22"/>
      <w:r>
        <w:rPr>
          <w:highlight w:val="none"/>
        </w:rPr>
      </w:r>
      <w:bookmarkEnd w:id="23"/>
      <w:r>
        <w:rPr>
          <w:highlight w:val="none"/>
        </w:rPr>
      </w:r>
      <w:bookmarkEnd w:id="25"/>
      <w:r>
        <w:rPr>
          <w:sz w:val="24"/>
          <w:szCs w:val="24"/>
          <w:highlight w:val="none"/>
        </w:rPr>
        <w:t xml:space="preserve">оказания услуг</w:t>
      </w:r>
      <w:bookmarkEnd w:id="24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98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4611"/>
        <w:gridCol w:w="2376"/>
        <w:gridCol w:w="2234"/>
      </w:tblGrid>
      <w:tr>
        <w:tblPrEx/>
        <w:trPr/>
        <w:tc>
          <w:tcPr>
            <w:shd w:val="clear" w:color="ffffff" w:fill="ffffff"/>
            <w:tcW w:w="6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№ п/п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2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окончанию срока </w:t>
            </w:r>
            <w:r>
              <w:rPr>
                <w:sz w:val="24"/>
                <w:szCs w:val="24"/>
                <w:highlight w:val="none"/>
              </w:rPr>
              <w:t xml:space="preserve">оказания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67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pStyle w:val="1054"/>
              <w:jc w:val="center"/>
              <w:keepNext w:val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234" w:type="dxa"/>
            <w:textDirection w:val="lrTb"/>
            <w:noWrap w:val="false"/>
          </w:tcPr>
          <w:p>
            <w:pPr>
              <w:pStyle w:val="1054"/>
              <w:jc w:val="center"/>
              <w:keepNext w:val="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672" w:type="dxa"/>
            <w:textDirection w:val="lrTb"/>
            <w:noWrap w:val="false"/>
          </w:tcPr>
          <w:p>
            <w:pPr>
              <w:pStyle w:val="1025"/>
              <w:numPr>
                <w:ilvl w:val="0"/>
                <w:numId w:val="45"/>
              </w:num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Обслуживания приборов системы химико-технологического мониторинга с выездом специалистов на место 2 раза в год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с даты заключения договора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2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в течение 7 (семи) месяцев с даты заключения договора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672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6"/>
              </w:numPr>
              <w:ind w:left="1501" w:right="0" w:hanging="150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Обслуживание </w:t>
            </w:r>
            <w:r>
              <w:rPr>
                <w:sz w:val="24"/>
                <w:szCs w:val="24"/>
                <w:highlight w:val="none"/>
              </w:rPr>
              <w:t xml:space="preserve">кислородомера  МАРК-409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3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W w:w="672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6"/>
              </w:numPr>
              <w:ind w:left="1501" w:right="0" w:hanging="150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 к</w:t>
            </w:r>
            <w:r>
              <w:rPr>
                <w:sz w:val="24"/>
                <w:szCs w:val="24"/>
                <w:highlight w:val="none"/>
              </w:rPr>
              <w:t xml:space="preserve">ондуктометра МАРК 602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3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W w:w="672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6"/>
              </w:numPr>
              <w:ind w:left="1501" w:right="0" w:hanging="150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рН-метра МАРК-902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3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W w:w="672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6"/>
              </w:numPr>
              <w:ind w:left="1501" w:right="0" w:hanging="150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 </w:t>
            </w:r>
            <w:r>
              <w:rPr>
                <w:sz w:val="24"/>
                <w:szCs w:val="24"/>
                <w:highlight w:val="none"/>
              </w:rPr>
              <w:t xml:space="preserve">Na-метра</w:t>
            </w:r>
            <w:r>
              <w:rPr>
                <w:sz w:val="24"/>
                <w:szCs w:val="24"/>
                <w:highlight w:val="none"/>
              </w:rPr>
              <w:t xml:space="preserve"> МАРК-1002</w:t>
            </w:r>
            <w:r>
              <w:rPr>
                <w:sz w:val="24"/>
                <w:szCs w:val="24"/>
                <w:highlight w:val="white"/>
              </w:rPr>
              <w:t xml:space="preserve"> (1 канал) 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3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W w:w="672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6"/>
              </w:numPr>
              <w:ind w:left="1501" w:right="0" w:hanging="150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vMerge w:val="restart"/>
            <w:textDirection w:val="lrTb"/>
            <w:noWrap w:val="false"/>
          </w:tcPr>
          <w:p>
            <w:pPr>
              <w:jc w:val="left"/>
              <w:rPr>
                <w:iCs/>
                <w:sz w:val="24"/>
                <w:szCs w:val="24"/>
                <w:highlight w:val="none"/>
              </w:rPr>
            </w:pP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Обслуживание</w:t>
            </w:r>
            <w:r>
              <w:rPr>
                <w:sz w:val="24"/>
                <w:szCs w:val="24"/>
                <w:highlight w:val="none"/>
              </w:rPr>
              <w:t xml:space="preserve"> а</w:t>
            </w:r>
            <w:r>
              <w:rPr>
                <w:sz w:val="24"/>
                <w:szCs w:val="24"/>
                <w:highlight w:val="none"/>
              </w:rPr>
              <w:t xml:space="preserve">нализатора кремния  МАРК-1202К-010</w:t>
            </w: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iCs/>
                <w:sz w:val="24"/>
                <w:szCs w:val="24"/>
                <w:highlight w:val="none"/>
              </w:rPr>
            </w:r>
          </w:p>
        </w:tc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3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W w:w="672" w:type="dxa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46"/>
              </w:numPr>
              <w:ind w:left="1501" w:right="0" w:hanging="150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ffffff" w:fill="ffffff"/>
            <w:tcW w:w="4611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О</w:t>
            </w:r>
            <w:r>
              <w:rPr>
                <w:sz w:val="24"/>
                <w:szCs w:val="24"/>
                <w:highlight w:val="none"/>
              </w:rPr>
              <w:t xml:space="preserve">бслуживание</w:t>
            </w:r>
            <w:r>
              <w:rPr>
                <w:sz w:val="24"/>
                <w:szCs w:val="24"/>
                <w:highlight w:val="none"/>
              </w:rPr>
              <w:t xml:space="preserve"> у</w:t>
            </w:r>
            <w:r>
              <w:rPr>
                <w:sz w:val="24"/>
                <w:szCs w:val="24"/>
                <w:highlight w:val="none"/>
              </w:rPr>
              <w:t xml:space="preserve">стройства подготовки пробы </w:t>
            </w:r>
            <w:r>
              <w:rPr>
                <w:sz w:val="24"/>
                <w:szCs w:val="24"/>
                <w:highlight w:val="white"/>
              </w:rPr>
              <w:t xml:space="preserve">МАРК-01мк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3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keepLines/>
        <w:keepNext/>
        <w:spacing w:before="240" w:after="60"/>
        <w:rPr>
          <w:rFonts w:eastAsia="Calibri"/>
          <w:b/>
          <w:bCs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  <w:outlineLvl w:val="0"/>
      </w:pPr>
      <w:r>
        <w:rPr>
          <w:highlight w:val="none"/>
        </w:rPr>
      </w:r>
      <w:bookmarkStart w:id="26" w:name="_Toc50125131"/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817"/>
        <w:rPr>
          <w:highlight w:val="none"/>
        </w:rPr>
      </w:pPr>
      <w:r>
        <w:rPr>
          <w:highlight w:val="none"/>
        </w:rPr>
      </w:r>
      <w:bookmarkStart w:id="27" w:name="_Toc46743511"/>
      <w:r>
        <w:rPr>
          <w:highlight w:val="none"/>
        </w:rPr>
      </w:r>
      <w:bookmarkStart w:id="28" w:name="_Toc54643708"/>
      <w:r>
        <w:rPr>
          <w:highlight w:val="none"/>
        </w:rPr>
      </w:r>
      <w:bookmarkStart w:id="29" w:name="_Toc51339698"/>
      <w:r>
        <w:rPr>
          <w:highlight w:val="none"/>
        </w:rPr>
      </w:r>
      <w:bookmarkStart w:id="30" w:name="_Toc54643709"/>
      <w:r>
        <w:rPr>
          <w:highlight w:val="none"/>
        </w:rPr>
        <w:t xml:space="preserve">Требования к </w:t>
      </w:r>
      <w:bookmarkEnd w:id="27"/>
      <w:r>
        <w:rPr>
          <w:highlight w:val="none"/>
        </w:rPr>
        <w:t xml:space="preserve">качеству </w:t>
      </w:r>
      <w:bookmarkEnd w:id="28"/>
      <w:r>
        <w:rPr>
          <w:highlight w:val="none"/>
        </w:rPr>
        <w:t xml:space="preserve">продукции</w:t>
      </w:r>
      <w:r>
        <w:rPr>
          <w:highlight w:val="none"/>
        </w:rPr>
      </w:r>
      <w:r>
        <w:rPr>
          <w:highlight w:val="none"/>
        </w:rPr>
      </w:r>
    </w:p>
    <w:p>
      <w:pPr>
        <w:pStyle w:val="814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Таблица 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. Требования к </w:t>
      </w:r>
      <w:bookmarkEnd w:id="26"/>
      <w:r>
        <w:rPr>
          <w:highlight w:val="none"/>
        </w:rPr>
      </w:r>
      <w:bookmarkEnd w:id="29"/>
      <w:r>
        <w:rPr>
          <w:sz w:val="24"/>
          <w:szCs w:val="24"/>
          <w:highlight w:val="none"/>
        </w:rPr>
        <w:t xml:space="preserve">качеству </w:t>
      </w:r>
      <w:bookmarkEnd w:id="30"/>
      <w:r>
        <w:rPr>
          <w:sz w:val="24"/>
          <w:szCs w:val="24"/>
          <w:highlight w:val="none"/>
        </w:rPr>
        <w:t xml:space="preserve">продукции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Наименование услуг (позиция № 1 </w:t>
      </w:r>
      <w:r>
        <w:rPr>
          <w:b/>
          <w:bCs/>
          <w:sz w:val="24"/>
          <w:szCs w:val="24"/>
          <w:highlight w:val="none"/>
        </w:rPr>
        <w:t xml:space="preserve">Таблицы 2): </w:t>
      </w:r>
      <w:r>
        <w:rPr>
          <w:sz w:val="24"/>
          <w:szCs w:val="24"/>
          <w:highlight w:val="none"/>
        </w:rPr>
        <w:t xml:space="preserve">1. </w:t>
      </w:r>
      <w:r>
        <w:rPr>
          <w:sz w:val="24"/>
          <w:szCs w:val="24"/>
          <w:highlight w:val="none"/>
        </w:rPr>
        <w:t xml:space="preserve">Проведение обслуживания</w:t>
      </w:r>
      <w:r>
        <w:rPr>
          <w:sz w:val="24"/>
          <w:szCs w:val="24"/>
          <w:highlight w:val="none"/>
        </w:rPr>
        <w:t xml:space="preserve"> приборов системы химико-технологического мониторинга с выездом специалистов на место 2 раза в год</w:t>
      </w:r>
      <w:r>
        <w:rPr>
          <w:sz w:val="24"/>
          <w:szCs w:val="24"/>
          <w:highlight w:val="none"/>
        </w:rPr>
        <w:t xml:space="preserve">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82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4"/>
        <w:gridCol w:w="2648"/>
        <w:gridCol w:w="4017"/>
        <w:gridCol w:w="3810"/>
        <w:gridCol w:w="3416"/>
      </w:tblGrid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№ п/п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26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40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72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4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017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8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341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</w:r>
            <w:bookmarkStart w:id="31" w:name="_Toc53499667"/>
            <w:r>
              <w:rPr>
                <w:b/>
                <w:bCs/>
                <w:sz w:val="24"/>
                <w:szCs w:val="24"/>
                <w:highlight w:val="none"/>
              </w:rPr>
              <w:t xml:space="preserve">1</w:t>
            </w:r>
            <w:bookmarkEnd w:id="31"/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264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2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401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3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4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341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5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0"/>
                <w:numId w:val="16"/>
              </w:numPr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Участник должен предоставить в заявке согласие оказать услуги, полностью соответствующие настоящим Техническим требованиям, по форме Коммерческого предложения, установленной в Документации о закупке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Общие требования к оказанию услуг 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20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shd w:val="clear" w:color="auto" w:fill="auto"/>
            <w:tcW w:w="6665" w:type="dxa"/>
            <w:textDirection w:val="lrTb"/>
            <w:noWrap w:val="false"/>
          </w:tcPr>
          <w:p>
            <w:pPr>
              <w:ind w:firstLine="335"/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Исполнитель обязан руководствоваться требованиями </w:t>
            </w:r>
            <w:r>
              <w:rPr>
                <w:sz w:val="24"/>
                <w:szCs w:val="24"/>
                <w:highlight w:val="none"/>
              </w:rPr>
              <w:t xml:space="preserve">следующих</w:t>
            </w:r>
            <w:r>
              <w:rPr>
                <w:sz w:val="24"/>
                <w:szCs w:val="24"/>
                <w:highlight w:val="none"/>
              </w:rPr>
              <w:t xml:space="preserve"> НТД: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153-34.1-37.532.4-2001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Общие технические требования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к системам химико-технологического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мониторинга водно-химических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режимов тепловых электростанций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(ООТ СХТМ ВХР ТЭС)</w:t>
            </w:r>
            <w:r>
              <w:rPr>
                <w:bCs/>
                <w:color w:val="000000"/>
                <w:sz w:val="24"/>
                <w:szCs w:val="24"/>
              </w:rPr>
              <w:t xml:space="preserve">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  <w:highlight w:val="none"/>
              </w:rPr>
              <w:t xml:space="preserve"> ВР37.00.000РЭ Анализатор растворенного кислорода МАРК-409 руководство по эксплуатации;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 ВР30.00.000РЭ Кондуктометр-солемер МАРК-602 </w:t>
            </w:r>
            <w:r>
              <w:rPr>
                <w:sz w:val="24"/>
                <w:szCs w:val="24"/>
                <w:highlight w:val="none"/>
              </w:rPr>
              <w:t xml:space="preserve">руководство по эксплуатации</w:t>
            </w:r>
            <w:r>
              <w:rPr>
                <w:sz w:val="24"/>
                <w:szCs w:val="24"/>
                <w:highlight w:val="none"/>
              </w:rPr>
              <w:t xml:space="preserve">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 ВР79.00.000РЭ Анализатор кремния МАРК-1202 </w:t>
            </w:r>
            <w:r>
              <w:rPr>
                <w:sz w:val="24"/>
                <w:szCs w:val="24"/>
                <w:highlight w:val="none"/>
              </w:rPr>
              <w:t xml:space="preserve">руководство по эксплуатации</w:t>
            </w:r>
            <w:r>
              <w:rPr>
                <w:sz w:val="24"/>
                <w:szCs w:val="24"/>
                <w:highlight w:val="none"/>
              </w:rPr>
              <w:t xml:space="preserve">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 ВР49.00.000РЭ Анализатор натрия МАРК-1002 </w:t>
            </w:r>
            <w:r>
              <w:rPr>
                <w:sz w:val="24"/>
                <w:szCs w:val="24"/>
                <w:highlight w:val="none"/>
              </w:rPr>
              <w:t xml:space="preserve">руководство по эксплуатации</w:t>
            </w:r>
            <w:r>
              <w:rPr>
                <w:sz w:val="24"/>
                <w:szCs w:val="24"/>
                <w:highlight w:val="none"/>
              </w:rPr>
              <w:t xml:space="preserve">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 ВР31.00.000РЭ рН-матр МАРК-902 </w:t>
            </w:r>
            <w:r>
              <w:rPr>
                <w:sz w:val="24"/>
                <w:szCs w:val="24"/>
                <w:highlight w:val="none"/>
              </w:rPr>
              <w:t xml:space="preserve">руководство по эксплуатации</w:t>
            </w:r>
            <w:r>
              <w:rPr>
                <w:sz w:val="24"/>
                <w:szCs w:val="24"/>
                <w:highlight w:val="none"/>
              </w:rPr>
              <w:t xml:space="preserve">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 ВР59.00.000РЭ Устройство подготовки пробы МАРК-01 мк </w:t>
            </w:r>
            <w:r>
              <w:rPr>
                <w:sz w:val="24"/>
                <w:szCs w:val="24"/>
                <w:highlight w:val="none"/>
              </w:rPr>
              <w:t xml:space="preserve">руководство по эксплуатации;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1025"/>
              <w:numPr>
                <w:ilvl w:val="0"/>
                <w:numId w:val="54"/>
              </w:numPr>
              <w:ind w:left="0" w:right="0" w:firstLine="142"/>
              <w:jc w:val="both"/>
              <w:spacing w:before="60"/>
              <w:widowControl w:val="off"/>
              <w:tabs>
                <w:tab w:val="left" w:pos="28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ФЗ от 26.06.2008 №102-ФЗ «Об обеспечении единства измерений".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416" w:type="dxa"/>
            <w:textDirection w:val="lrTb"/>
            <w:noWrap w:val="false"/>
          </w:tcPr>
          <w:p>
            <w:pPr>
              <w:pStyle w:val="1050"/>
              <w:jc w:val="left"/>
              <w:keepNext w:val="0"/>
              <w:spacing w:before="0"/>
              <w:rPr>
                <w:rFonts w:eastAsia="Times New Roman"/>
                <w:highlight w:val="none"/>
              </w:rPr>
              <w:outlineLvl w:val="2"/>
            </w:pPr>
            <w:r>
              <w:rPr>
                <w:rFonts w:eastAsia="Times New Roman"/>
                <w:highlight w:val="none"/>
              </w:rPr>
            </w:r>
            <w:r>
              <w:rPr>
                <w:rFonts w:eastAsia="Times New Roman"/>
                <w:highlight w:val="none"/>
              </w:rPr>
            </w:r>
            <w:r>
              <w:rPr>
                <w:rFonts w:eastAsia="Times New Roman"/>
                <w:highlight w:val="none"/>
              </w:rPr>
            </w:r>
          </w:p>
        </w:tc>
      </w:tr>
      <w:tr>
        <w:tblPrEx/>
        <w:trPr>
          <w:trHeight w:val="239"/>
        </w:trPr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6665" w:type="dxa"/>
            <w:vMerge w:val="restart"/>
            <w:textDirection w:val="lrTb"/>
            <w:noWrap w:val="false"/>
          </w:tcPr>
          <w:p>
            <w:pPr>
              <w:ind w:left="0" w:right="0" w:firstLine="142"/>
              <w:shd w:val="nil" w:color="00000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Доставка приборов и комплектующих для проведения </w:t>
            </w:r>
            <w:r>
              <w:rPr>
                <w:sz w:val="24"/>
                <w:szCs w:val="24"/>
                <w:highlight w:val="none"/>
              </w:rPr>
              <w:t xml:space="preserve">обслуживания в заводских условиях должна осуществляться за счет Исполнителя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341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</w:t>
            </w:r>
            <w:r>
              <w:rPr>
                <w:b/>
                <w:sz w:val="24"/>
                <w:szCs w:val="24"/>
                <w:highlight w:val="none"/>
              </w:rPr>
              <w:t xml:space="preserve">ван</w:t>
            </w:r>
            <w:r>
              <w:rPr>
                <w:b/>
                <w:sz w:val="24"/>
                <w:szCs w:val="24"/>
                <w:highlight w:val="none"/>
              </w:rPr>
              <w:t xml:space="preserve">ия</w:t>
            </w:r>
            <w:r>
              <w:rPr>
                <w:b/>
                <w:sz w:val="24"/>
                <w:szCs w:val="24"/>
                <w:highlight w:val="none"/>
              </w:rPr>
              <w:t xml:space="preserve"> к с</w:t>
            </w:r>
            <w:r>
              <w:rPr>
                <w:b/>
                <w:sz w:val="24"/>
                <w:szCs w:val="24"/>
                <w:highlight w:val="none"/>
              </w:rPr>
              <w:t xml:space="preserve">пособам оказания услуг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142"/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Оказание услуг производится только методами, утвержденными нормативной документацией (руководства по эксплуатации, паспорта приборов </w:t>
            </w:r>
            <w:r>
              <w:rPr>
                <w:sz w:val="24"/>
                <w:szCs w:val="24"/>
                <w:highlight w:val="none"/>
              </w:rPr>
              <w:t xml:space="preserve">системы химико-технологического мониторинга), </w:t>
            </w:r>
            <w:r>
              <w:rPr>
                <w:sz w:val="24"/>
                <w:szCs w:val="24"/>
                <w:highlight w:val="none"/>
              </w:rPr>
              <w:t xml:space="preserve">в соответствии с требованиями правил техники безопасности, промышленной безопасности, пожарной безопасности охраны труда и производственной санитарии.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142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При </w:t>
            </w:r>
            <w:r>
              <w:rPr>
                <w:sz w:val="24"/>
                <w:szCs w:val="24"/>
                <w:highlight w:val="none"/>
              </w:rPr>
              <w:t xml:space="preserve">оказании услуг по обслуживанию приборов </w:t>
            </w:r>
            <w:r>
              <w:rPr>
                <w:sz w:val="24"/>
                <w:szCs w:val="24"/>
                <w:highlight w:val="none"/>
              </w:rPr>
              <w:t xml:space="preserve">системы химико-технологического мониторинга</w:t>
            </w:r>
            <w:r>
              <w:rPr>
                <w:sz w:val="24"/>
                <w:szCs w:val="24"/>
                <w:highlight w:val="none"/>
              </w:rPr>
              <w:t xml:space="preserve"> Исполнитель использует собственные, взятые в аренду или приобретённые за свой счёт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материал</w:t>
            </w:r>
            <w:r>
              <w:rPr>
                <w:sz w:val="24"/>
                <w:szCs w:val="24"/>
                <w:highlight w:val="none"/>
              </w:rPr>
              <w:t xml:space="preserve">ь</w:t>
            </w:r>
            <w:r>
              <w:rPr>
                <w:sz w:val="24"/>
                <w:szCs w:val="24"/>
                <w:highlight w:val="none"/>
              </w:rPr>
              <w:t xml:space="preserve">но-т</w:t>
            </w:r>
            <w:r>
              <w:rPr>
                <w:sz w:val="24"/>
                <w:szCs w:val="24"/>
                <w:highlight w:val="none"/>
              </w:rPr>
              <w:t xml:space="preserve">ехнические ресурсы, позволяющие оказать услуги в объёме и в сроки, определёнными </w:t>
            </w:r>
            <w:r>
              <w:rPr>
                <w:sz w:val="24"/>
                <w:szCs w:val="24"/>
                <w:highlight w:val="none"/>
              </w:rPr>
              <w:t xml:space="preserve">настоящими Техническими требованиями.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60"/>
              <w:rPr>
                <w:b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процедурам оказания услуг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142"/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  <w:t xml:space="preserve">В соответствии с Федеральным законом № 184-ФЗ «О техническом регулировании» Исполнитель принимает на себя добровольное обязательство</w:t>
            </w:r>
            <w:r>
              <w:rPr>
                <w:bCs/>
                <w:sz w:val="24"/>
                <w:szCs w:val="24"/>
                <w:highlight w:val="none"/>
              </w:rPr>
              <w:t xml:space="preserve"> о соблюдении требований правил, технических</w:t>
            </w:r>
            <w:r>
              <w:rPr>
                <w:bCs/>
                <w:sz w:val="24"/>
                <w:szCs w:val="24"/>
                <w:highlight w:val="none"/>
              </w:rPr>
              <w:t xml:space="preserve"> условий, ГОСТ, </w:t>
            </w:r>
            <w:r>
              <w:rPr>
                <w:bCs/>
                <w:sz w:val="24"/>
                <w:szCs w:val="24"/>
                <w:highlight w:val="none"/>
              </w:rPr>
              <w:t xml:space="preserve">ПУЭ</w:t>
            </w:r>
            <w:r>
              <w:rPr>
                <w:bCs/>
                <w:sz w:val="24"/>
                <w:szCs w:val="24"/>
                <w:highlight w:val="none"/>
              </w:rPr>
              <w:t xml:space="preserve"> и д</w:t>
            </w:r>
            <w:r>
              <w:rPr>
                <w:bCs/>
                <w:sz w:val="24"/>
                <w:szCs w:val="24"/>
                <w:highlight w:val="none"/>
              </w:rPr>
              <w:t xml:space="preserve">ругих нормативных технических документов, действующих на момент заключения договора, и добровольное обязательство об оказании услуг с качеством, соответствующим вышеперечисленным документам.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64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оборудованию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01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Исполнитель должен иметь в собственности, либо на ином законном основании, материально-технические ресурсы, позволяющие оказывать услуги</w:t>
            </w:r>
            <w:r>
              <w:rPr>
                <w:sz w:val="24"/>
                <w:szCs w:val="24"/>
                <w:highlight w:val="none"/>
              </w:rPr>
              <w:t xml:space="preserve"> в объёме </w:t>
            </w:r>
            <w:r>
              <w:rPr>
                <w:sz w:val="24"/>
                <w:szCs w:val="24"/>
                <w:highlight w:val="none"/>
              </w:rPr>
              <w:t xml:space="preserve">и в сроки, определёнными </w:t>
            </w:r>
            <w:r>
              <w:rPr>
                <w:sz w:val="24"/>
                <w:szCs w:val="24"/>
                <w:highlight w:val="none"/>
              </w:rPr>
              <w:t xml:space="preserve">настоящими Техническими требованиями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64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материалам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017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При необходимости обращение за запасными частями к заводам-изготовителям (в пределах 10% стоимости договора).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персоналу исполнителя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64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Требования к квалификации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017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Исполнитель должен иметь в штате или привлекать по договорам гражданско-правового характера квалифицированный инженерно-технический персонал численностью, </w:t>
            </w:r>
            <w:r>
              <w:rPr>
                <w:sz w:val="24"/>
                <w:szCs w:val="24"/>
                <w:highlight w:val="none"/>
              </w:rPr>
              <w:t xml:space="preserve">необходимой для оказания услуг по предмету закупки</w:t>
            </w:r>
            <w:r>
              <w:rPr>
                <w:sz w:val="24"/>
                <w:szCs w:val="24"/>
                <w:highlight w:val="none"/>
              </w:rPr>
              <w:t xml:space="preserve">, не менее 2 (двух) человек.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Все виды обслуживания должны выполнятся квалифицированным персоналом, имеющим допуск к работе с электроустановками до 1000 В, изучившим руководство по эксплуатации приборов </w:t>
            </w:r>
            <w:r>
              <w:rPr>
                <w:sz w:val="24"/>
                <w:szCs w:val="24"/>
                <w:highlight w:val="none"/>
              </w:rPr>
              <w:t xml:space="preserve">химико-технологического мониторинга</w:t>
            </w:r>
            <w:r>
              <w:rPr>
                <w:sz w:val="24"/>
                <w:szCs w:val="24"/>
                <w:highlight w:val="none"/>
              </w:rPr>
              <w:t xml:space="preserve"> и действующие меры безопасности при работе с химическими реактивами.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0"/>
                <w:numId w:val="16"/>
              </w:numPr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Требования к результатам у</w:t>
            </w:r>
            <w:r>
              <w:rPr>
                <w:b/>
                <w:sz w:val="24"/>
                <w:szCs w:val="24"/>
                <w:highlight w:val="none"/>
              </w:rPr>
              <w:t xml:space="preserve">слуг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Общие требования к результатам услуг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textDirection w:val="lrTb"/>
            <w:noWrap w:val="false"/>
          </w:tcPr>
          <w:p>
            <w:pPr>
              <w:ind w:left="0" w:right="0" w:firstLine="14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</w:t>
            </w:r>
            <w:r>
              <w:rPr>
                <w:sz w:val="24"/>
                <w:szCs w:val="24"/>
                <w:highlight w:val="none"/>
              </w:rPr>
              <w:t xml:space="preserve">олнитель должен гарантировать </w:t>
            </w:r>
            <w:r>
              <w:rPr>
                <w:sz w:val="24"/>
                <w:szCs w:val="24"/>
                <w:highlight w:val="none"/>
              </w:rPr>
              <w:t xml:space="preserve">оказание</w:t>
            </w:r>
            <w:r>
              <w:rPr>
                <w:sz w:val="24"/>
                <w:szCs w:val="24"/>
                <w:highlight w:val="none"/>
              </w:rPr>
              <w:t xml:space="preserve"> всех </w:t>
            </w:r>
            <w:r>
              <w:rPr>
                <w:sz w:val="24"/>
                <w:szCs w:val="24"/>
                <w:highlight w:val="none"/>
              </w:rPr>
              <w:t xml:space="preserve">услуг</w:t>
            </w:r>
            <w:r>
              <w:rPr>
                <w:sz w:val="24"/>
                <w:szCs w:val="24"/>
                <w:highlight w:val="none"/>
              </w:rPr>
              <w:t xml:space="preserve"> в полном объёме и в сроки, определённые условиями настоя</w:t>
            </w:r>
            <w:r>
              <w:rPr>
                <w:sz w:val="24"/>
                <w:szCs w:val="24"/>
                <w:highlight w:val="none"/>
              </w:rPr>
              <w:t xml:space="preserve">щих Технических требований.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pStyle w:val="1050"/>
              <w:jc w:val="left"/>
              <w:keepNext w:val="0"/>
              <w:rPr>
                <w:rFonts w:eastAsia="Times New Roman"/>
                <w:b w:val="0"/>
                <w:highlight w:val="none"/>
              </w:rPr>
              <w:outlineLvl w:val="2"/>
            </w:pPr>
            <w:r>
              <w:rPr>
                <w:rFonts w:eastAsia="Times New Roman"/>
                <w:b w:val="0"/>
                <w:highlight w:val="none"/>
              </w:rPr>
            </w:r>
            <w:r>
              <w:rPr>
                <w:rFonts w:eastAsia="Times New Roman"/>
                <w:b w:val="0"/>
                <w:highlight w:val="none"/>
              </w:rPr>
            </w:r>
            <w:r>
              <w:rPr>
                <w:rFonts w:eastAsia="Times New Roman"/>
                <w:b w:val="0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ind w:firstLine="14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Подписание актов об обслуживании.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pStyle w:val="1050"/>
              <w:jc w:val="left"/>
              <w:keepNext w:val="0"/>
              <w:rPr>
                <w:rFonts w:eastAsia="Times New Roman"/>
                <w:b w:val="0"/>
                <w:highlight w:val="none"/>
              </w:rPr>
              <w:outlineLvl w:val="2"/>
            </w:pPr>
            <w:r>
              <w:rPr>
                <w:rFonts w:eastAsia="Times New Roman"/>
                <w:b w:val="0"/>
                <w:highlight w:val="none"/>
              </w:rPr>
            </w:r>
            <w:r>
              <w:rPr>
                <w:rFonts w:eastAsia="Times New Roman"/>
                <w:b w:val="0"/>
                <w:highlight w:val="none"/>
              </w:rPr>
            </w:r>
            <w:r>
              <w:rPr>
                <w:rFonts w:eastAsia="Times New Roman"/>
                <w:b w:val="0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документации, описывающей результат услуг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142"/>
              <w:jc w:val="both"/>
              <w:tabs>
                <w:tab w:val="left" w:pos="567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Испо</w:t>
            </w:r>
            <w:r>
              <w:rPr>
                <w:sz w:val="24"/>
                <w:szCs w:val="24"/>
                <w:highlight w:val="none"/>
              </w:rPr>
              <w:t xml:space="preserve">лнитель предоставляет акт осмотра состояния </w:t>
            </w:r>
            <w:r>
              <w:rPr>
                <w:sz w:val="24"/>
                <w:szCs w:val="24"/>
                <w:highlight w:val="none"/>
              </w:rPr>
              <w:t xml:space="preserve">приборов системы химико-технологического мониторинга</w:t>
            </w:r>
            <w:r>
              <w:rPr>
                <w:sz w:val="24"/>
                <w:szCs w:val="24"/>
                <w:highlight w:val="none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142"/>
              <w:jc w:val="both"/>
              <w:tabs>
                <w:tab w:val="left" w:pos="567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Исполнитель составляет акты замены, дефектации в случае незапланированных изменений на </w:t>
            </w:r>
            <w:r>
              <w:rPr>
                <w:sz w:val="24"/>
                <w:szCs w:val="24"/>
                <w:highlight w:val="none"/>
              </w:rPr>
              <w:t xml:space="preserve">приборах системы химико-технологического мониторинга.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vMerge w:val="restart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-117" w:firstLine="142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безопасности </w:t>
            </w:r>
            <w:r>
              <w:rPr>
                <w:b/>
                <w:sz w:val="24"/>
                <w:szCs w:val="24"/>
                <w:highlight w:val="none"/>
              </w:rPr>
              <w:t xml:space="preserve">оказания </w:t>
            </w:r>
            <w:commentRangeStart w:id="1"/>
            <w:r>
              <w:rPr>
                <w:b/>
                <w:sz w:val="24"/>
                <w:szCs w:val="24"/>
                <w:highlight w:val="none"/>
              </w:rPr>
              <w:t xml:space="preserve">услуг</w:t>
            </w:r>
            <w:commentRangeEnd w:id="1"/>
            <w:r>
              <w:commentReference w:id="1"/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vMerge w:val="restart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textDirection w:val="lrTb"/>
            <w:noWrap w:val="false"/>
          </w:tcPr>
          <w:p>
            <w:pPr>
              <w:ind w:firstLine="142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При оказании услуг</w:t>
            </w:r>
            <w:r>
              <w:rPr>
                <w:sz w:val="24"/>
                <w:szCs w:val="24"/>
                <w:highlight w:val="none"/>
              </w:rPr>
              <w:t xml:space="preserve"> Исполнитель осуществляет выезды на объекты Заказчика. Перед началом оказания услуг Исполнитель обязан составить и согласовать с техническим руководством Заказчика мероприятия по технике безопасности труда собственного персонала</w:t>
            </w:r>
            <w:commentRangeStart w:id="2"/>
            <w:r>
              <w:rPr>
                <w:highlight w:val="none"/>
              </w:rPr>
            </w:r>
            <w:commentRangeEnd w:id="2"/>
            <w:r>
              <w:commentReference w:id="2"/>
            </w:r>
            <w:r>
              <w:rPr>
                <w:sz w:val="24"/>
                <w:szCs w:val="24"/>
                <w:highlight w:val="none"/>
              </w:rPr>
              <w:t xml:space="preserve">, оформить допуск (списки лиц персонала, перечень оборудования и средств измерений) для оказания услуг на территории объекта.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2"/>
                <w:numId w:val="16"/>
              </w:numPr>
              <w:ind w:hanging="1199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textDirection w:val="lrTb"/>
            <w:noWrap w:val="false"/>
          </w:tcPr>
          <w:p>
            <w:pPr>
              <w:contextualSpacing/>
              <w:ind w:firstLine="142"/>
              <w:spacing w:after="12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Оказание услуг происходит в зоне действующего оборудования на режим</w:t>
            </w:r>
            <w:r>
              <w:rPr>
                <w:sz w:val="24"/>
                <w:szCs w:val="24"/>
                <w:highlight w:val="none"/>
              </w:rPr>
              <w:t xml:space="preserve">ном энергетическом предприятии. Услуги должны быть оказаны в соответствии с требованиями правил техники безопасности, пожарной безопасности, охраны труда, производственной санитарии.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2.2.3.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6665" w:type="dxa"/>
            <w:textDirection w:val="lrTb"/>
            <w:noWrap w:val="false"/>
          </w:tcPr>
          <w:p>
            <w:pPr>
              <w:contextualSpacing/>
              <w:ind w:firstLine="142"/>
              <w:spacing w:after="12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Работники, привлекаемые к оказанию услуг</w:t>
            </w:r>
            <w:r>
              <w:rPr>
                <w:sz w:val="24"/>
                <w:szCs w:val="24"/>
                <w:highlight w:val="none"/>
              </w:rPr>
              <w:t xml:space="preserve">, должны быть обеспечены спецодеждой и средствами индивидуальной защиты.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0"/>
                <w:numId w:val="16"/>
              </w:numPr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37"/>
        </w:trPr>
        <w:tc>
          <w:tcPr>
            <w:tcW w:w="994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1"/>
                <w:numId w:val="16"/>
              </w:numPr>
              <w:ind w:left="0" w:firstLine="0"/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6665" w:type="dxa"/>
            <w:textDirection w:val="lrTb"/>
            <w:noWrap w:val="false"/>
          </w:tcPr>
          <w:p>
            <w:pPr>
              <w:contextualSpacing/>
              <w:ind w:left="0" w:right="0" w:firstLine="142"/>
              <w:jc w:val="both"/>
              <w:widowControl w:val="off"/>
              <w:tabs>
                <w:tab w:val="left" w:pos="227" w:leader="none"/>
                <w:tab w:val="left" w:pos="30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Исполнитель несет ответственность за: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left="0" w:right="0" w:firstLine="142"/>
              <w:jc w:val="both"/>
              <w:widowControl w:val="off"/>
              <w:tabs>
                <w:tab w:val="left" w:pos="227" w:leader="none"/>
                <w:tab w:val="left" w:pos="303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- допущенные отступления от требований, предусмотренных технической документацией;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142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- правильность предоставленной на утверждение документации, независимо от подтверждения (согласования) Заказчика, за исключением случаев, когда ошибки вызваны неправильными исходными данными Заказчика;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142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- обеспечение требований действующих норм и правил охраны труда, техники безопасности, правил пожарной безопасности, правил технической эксплуатации электрических станций и сетей Российской Федерации.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81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16" w:type="dxa"/>
            <w:textDirection w:val="lrTb"/>
            <w:noWrap w:val="false"/>
          </w:tcPr>
          <w:p>
            <w:pPr>
              <w:pStyle w:val="1050"/>
              <w:jc w:val="left"/>
              <w:keepNext w:val="0"/>
              <w:rPr>
                <w:highlight w:val="none"/>
              </w:rPr>
              <w:outlineLvl w:val="2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tbl>
      <w:tblPr>
        <w:tblStyle w:val="982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7"/>
        <w:gridCol w:w="6661"/>
        <w:gridCol w:w="7226"/>
      </w:tblGrid>
      <w:tr>
        <w:tblPrEx/>
        <w:trPr>
          <w:trHeight w:val="344"/>
        </w:trPr>
        <w:tc>
          <w:tcPr>
            <w:tcW w:w="997" w:type="dxa"/>
            <w:vAlign w:val="center"/>
            <w:textDirection w:val="lrTb"/>
            <w:noWrap w:val="false"/>
          </w:tcPr>
          <w:p>
            <w:pPr>
              <w:pStyle w:val="1025"/>
              <w:numPr>
                <w:ilvl w:val="0"/>
                <w:numId w:val="16"/>
              </w:numPr>
              <w:jc w:val="center"/>
              <w:spacing w:before="60" w:after="6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2"/>
            <w:tcW w:w="13888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Требования к победителю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997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3888" w:type="dxa"/>
            <w:vAlign w:val="center"/>
            <w:vMerge w:val="restart"/>
            <w:textDirection w:val="lrTb"/>
            <w:noWrap w:val="false"/>
          </w:tcPr>
          <w:p>
            <w:pPr>
              <w:pStyle w:val="813"/>
              <w:ind w:left="0" w:right="0" w:firstLine="283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частник, признанный победителем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купочной процедуры, в течение 5 (пяти) рабочих дней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(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lang w:val="ru-RU" w:eastAsia="en-US" w:bidi="ar-SA"/>
              </w:rPr>
              <w:t xml:space="preserve">УКАЗАТЬ ЭЛЕКТРОННЫЙ АДРЕС ИСПОЛНИТЕЛЯ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aps w:val="0"/>
                <w:smallCaps w:val="0"/>
                <w:spacing w:val="0"/>
                <w:sz w:val="24"/>
                <w:szCs w:val="24"/>
                <w:highlight w:val="white"/>
                <w:lang w:val="ru-RU" w:eastAsia="en-US" w:bidi="ar-SA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0" w:firstLine="283"/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/>
          </w:p>
        </w:tc>
      </w:tr>
      <w:tr>
        <w:tblPrEx/>
        <w:trPr>
          <w:trHeight w:val="337"/>
        </w:trPr>
        <w:tc>
          <w:tcPr>
            <w:tcW w:w="997" w:type="dxa"/>
            <w:vAlign w:val="center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4.2.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6661" w:type="dxa"/>
            <w:textDirection w:val="lrTb"/>
            <w:noWrap w:val="false"/>
          </w:tcPr>
          <w:p>
            <w:pPr>
              <w:ind w:left="0" w:right="141" w:firstLine="283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Победителя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</w:p>
          <w:p>
            <w:pPr>
              <w:ind w:left="0" w:right="141"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1. 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283"/>
              <w:jc w:val="both"/>
              <w:rPr>
                <w:rFonts w:ascii="Times New Roman" w:hAnsi="Times New Roman" w:cs="Times New Roman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Иметь в наличие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2-х человек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прошедших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highlight w:val="white"/>
                <w14:ligatures w14:val="none"/>
              </w:rPr>
            </w:r>
          </w:p>
          <w:p>
            <w:pPr>
              <w:ind w:left="0" w:right="141" w:firstLine="283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226" w:type="dxa"/>
            <w:vMerge w:val="restart"/>
            <w:textDirection w:val="lrTb"/>
            <w:noWrap w:val="false"/>
          </w:tcPr>
          <w:p>
            <w:pPr>
              <w:ind w:left="0" w:right="141" w:firstLine="283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чем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2-х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которые будут непосредственно на объектах выполнять работы по Наряду-допуску.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jc w:val="center"/>
        <w:rPr>
          <w:b/>
          <w:i/>
          <w:sz w:val="24"/>
          <w:szCs w:val="24"/>
          <w:highlight w:val="none"/>
        </w:rPr>
      </w:pPr>
      <w:r>
        <w:rPr>
          <w:b/>
          <w:i/>
          <w:sz w:val="24"/>
          <w:szCs w:val="24"/>
          <w:highlight w:val="none"/>
        </w:rPr>
      </w:r>
      <w:r>
        <w:rPr>
          <w:b/>
          <w:i/>
          <w:sz w:val="24"/>
          <w:szCs w:val="24"/>
          <w:highlight w:val="none"/>
        </w:rPr>
      </w:r>
      <w:r>
        <w:rPr>
          <w:b/>
          <w:i/>
          <w:sz w:val="24"/>
          <w:szCs w:val="24"/>
          <w:highlight w:val="none"/>
        </w:rPr>
      </w:r>
    </w:p>
    <w:p>
      <w:pPr>
        <w:ind w:left="0" w:right="0" w:firstLine="0"/>
        <w:tabs>
          <w:tab w:val="left" w:pos="2131" w:leader="none"/>
        </w:tabs>
        <w:rPr>
          <w:sz w:val="24"/>
          <w:szCs w:val="24"/>
          <w:highlight w:val="none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b/>
          <w:bCs/>
          <w:i w:val="0"/>
          <w:iCs w:val="0"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4"/>
        <w:ind w:left="357" w:hanging="357"/>
        <w:jc w:val="center"/>
        <w:keepLines/>
        <w:rPr>
          <w:highlight w:val="none"/>
        </w:rPr>
      </w:pPr>
      <w:r>
        <w:rPr>
          <w:highlight w:val="none"/>
        </w:rPr>
      </w:r>
      <w:commentRangeStart w:id="3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  <w:t xml:space="preserve">Требования к документации по ценообразованию</w:t>
      </w:r>
      <w:bookmarkEnd w:id="0"/>
      <w:r>
        <w:rPr>
          <w:highlight w:val="none"/>
        </w:rPr>
        <w:t xml:space="preserve"> на этапе закупки</w:t>
      </w:r>
      <w:commentRangeEnd w:id="3"/>
      <w:r>
        <w:commentReference w:id="3"/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3.1. </w:t>
      </w:r>
      <w:r>
        <w:rPr>
          <w:sz w:val="24"/>
          <w:szCs w:val="24"/>
          <w:highlight w:val="none"/>
        </w:rPr>
        <w:t xml:space="preserve">3.1.</w:t>
        <w:tab/>
        <w:t xml:space="preserve">В обоснование стоимости своей заявки Участник предоставляет Коммерческое предложение по форме Приложения № 3 к настоящим Техническим требованиям</w:t>
      </w:r>
      <w:r>
        <w:rPr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4"/>
        <w:numPr>
          <w:ilvl w:val="0"/>
          <w:numId w:val="0"/>
        </w:numPr>
        <w:ind w:left="357"/>
        <w:keepLines/>
        <w:rPr>
          <w:iCs/>
          <w:caps/>
          <w:highlight w:val="none"/>
        </w:rPr>
      </w:pPr>
      <w:r>
        <w:rPr>
          <w:iCs/>
          <w:caps/>
          <w:highlight w:val="none"/>
        </w:rPr>
      </w:r>
      <w:r>
        <w:rPr>
          <w:iCs/>
          <w:caps/>
          <w:highlight w:val="none"/>
        </w:rPr>
      </w:r>
      <w:r>
        <w:rPr>
          <w:iCs/>
          <w:caps/>
          <w:highlight w:val="none"/>
        </w:rPr>
      </w:r>
    </w:p>
    <w:p>
      <w:pPr>
        <w:pStyle w:val="814"/>
        <w:contextualSpacing w:val="0"/>
        <w:ind w:left="357" w:hanging="357"/>
        <w:jc w:val="center"/>
        <w:keepLines/>
        <w:rPr>
          <w:highlight w:val="none"/>
        </w:rPr>
      </w:pPr>
      <w:r>
        <w:rPr>
          <w:highlight w:val="none"/>
        </w:rPr>
      </w:r>
      <w:commentRangeStart w:id="4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  <w:t xml:space="preserve">Требования к документации по ценообразованию на этапе заключения (исполнения) договора</w:t>
      </w:r>
      <w:bookmarkEnd w:id="0"/>
      <w:r>
        <w:rPr>
          <w:highlight w:val="none"/>
        </w:rPr>
      </w:r>
      <w:commentRangeEnd w:id="4"/>
      <w:r>
        <w:commentReference w:id="4"/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4.1. Требования к составлению сметной документации (при заключении договора).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.1.1. </w:t>
      </w:r>
      <w:r>
        <w:rPr>
          <w:sz w:val="24"/>
          <w:szCs w:val="24"/>
          <w:highlight w:val="none"/>
        </w:rPr>
        <w:t xml:space="preserve">Участник, с которым принято решение заключить договор, в течение 5 (пяти) рабочих дней после размещения протокола подведения итогов закупки на сайте www.zakupki.gov.ru, должен предоставить в адрес Заказчика на электронный адрес panchenko-iv@dgk.ru каль</w:t>
      </w:r>
      <w:r>
        <w:rPr>
          <w:sz w:val="24"/>
          <w:szCs w:val="24"/>
          <w:highlight w:val="none"/>
        </w:rPr>
        <w:t xml:space="preserve">куляцию по</w:t>
      </w:r>
      <w:r>
        <w:rPr>
          <w:sz w:val="24"/>
          <w:szCs w:val="24"/>
          <w:highlight w:val="none"/>
        </w:rPr>
        <w:t xml:space="preserve"> форме </w:t>
      </w:r>
      <w:r>
        <w:rPr>
          <w:sz w:val="24"/>
          <w:szCs w:val="24"/>
          <w:highlight w:val="none"/>
        </w:rPr>
        <w:t xml:space="preserve">Приложения №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2</w:t>
      </w:r>
      <w:r>
        <w:rPr>
          <w:sz w:val="24"/>
          <w:szCs w:val="24"/>
          <w:highlight w:val="none"/>
        </w:rPr>
        <w:t xml:space="preserve"> к насто</w:t>
      </w:r>
      <w:r>
        <w:rPr>
          <w:sz w:val="24"/>
          <w:szCs w:val="24"/>
          <w:highlight w:val="none"/>
        </w:rPr>
        <w:t xml:space="preserve">ящим </w:t>
      </w:r>
      <w:r>
        <w:rPr>
          <w:sz w:val="24"/>
          <w:szCs w:val="24"/>
          <w:highlight w:val="none"/>
        </w:rPr>
        <w:t xml:space="preserve">Техническим требованиям,</w:t>
      </w:r>
      <w:r>
        <w:rPr>
          <w:sz w:val="24"/>
          <w:szCs w:val="24"/>
          <w:highlight w:val="none"/>
        </w:rPr>
        <w:t xml:space="preserve"> составленную в соответствии с требованиями п. 4.1.2. и п. 4.1.3</w:t>
      </w:r>
      <w:r>
        <w:rPr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rPr>
          <w:highlight w:val="none"/>
        </w:rPr>
      </w:pP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.1.2. </w:t>
      </w:r>
      <w:r>
        <w:rPr>
          <w:sz w:val="24"/>
          <w:szCs w:val="24"/>
          <w:highlight w:val="none"/>
        </w:rPr>
        <w:t xml:space="preserve">Цена Договора формируется на основании калькуляции, составленной Победителем по форме Приложения № 2 к настоящим </w:t>
      </w:r>
      <w:r>
        <w:rPr>
          <w:sz w:val="24"/>
          <w:szCs w:val="24"/>
          <w:highlight w:val="none"/>
        </w:rPr>
        <w:t xml:space="preserve">Техническим требованиям</w:t>
      </w:r>
      <w:r>
        <w:rPr>
          <w:sz w:val="24"/>
          <w:szCs w:val="24"/>
          <w:highlight w:val="none"/>
        </w:rPr>
        <w:t xml:space="preserve">. Калькуляция составляется с расшифровкой всех составляющих (норма времени, заработная плата, накладные расходы, рентабельность). Кальку</w:t>
      </w:r>
      <w:r>
        <w:rPr>
          <w:sz w:val="24"/>
          <w:szCs w:val="24"/>
          <w:highlight w:val="none"/>
        </w:rPr>
        <w:t xml:space="preserve">ляция должна учитывать все предполагаемые затраты Исполнителя, обязательные платежи, стоимость всех сопутствующих услуг, а также командировочные расходы, связанные с оказанием услуг на территории Заказчика и соответствовать цене заявки.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567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4.1.3. </w:t>
      </w:r>
      <w:r>
        <w:rPr>
          <w:sz w:val="24"/>
          <w:szCs w:val="24"/>
          <w:highlight w:val="none"/>
        </w:rPr>
        <w:t xml:space="preserve">Допустимо учитывать затраты на основании ЛНА Исполнителя. При составлении расчета на основании внутреннего ценообразующего документа организации (Прейскуранта цен) расчет должен подтверждаться данным документом или заверенной руководителем организац</w:t>
      </w:r>
      <w:r>
        <w:rPr>
          <w:sz w:val="24"/>
          <w:szCs w:val="24"/>
          <w:highlight w:val="none"/>
        </w:rPr>
        <w:t xml:space="preserve">ии Исполнителя и главным бухгалтером выкопировкой из данного документа с отображением учтенных в расчете позиций.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14"/>
        <w:numPr>
          <w:ilvl w:val="0"/>
          <w:numId w:val="0"/>
        </w:numPr>
        <w:ind w:left="357"/>
        <w:keepLines/>
        <w:rPr>
          <w:iCs/>
          <w:highlight w:val="none"/>
        </w:rPr>
      </w:pPr>
      <w:r>
        <w:rPr>
          <w:iCs/>
          <w:highlight w:val="none"/>
        </w:rPr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pStyle w:val="814"/>
        <w:ind w:left="357" w:hanging="357"/>
        <w:jc w:val="center"/>
        <w:keepLines/>
        <w:rPr>
          <w:iCs/>
          <w:caps/>
          <w:highlight w:val="none"/>
        </w:rPr>
      </w:pPr>
      <w:r>
        <w:rPr>
          <w:iCs/>
          <w:highlight w:val="none"/>
        </w:rPr>
      </w:r>
      <w:commentRangeStart w:id="5"/>
      <w:r>
        <w:rPr>
          <w:iCs/>
          <w:highlight w:val="none"/>
        </w:rPr>
        <w:t xml:space="preserve">Приложения</w:t>
      </w:r>
      <w:r>
        <w:rPr>
          <w:iCs/>
          <w:caps/>
          <w:highlight w:val="none"/>
        </w:rPr>
      </w:r>
      <w:commentRangeEnd w:id="5"/>
      <w:r>
        <w:commentReference w:id="5"/>
      </w:r>
      <w:r>
        <w:rPr>
          <w:iCs/>
          <w:caps/>
          <w:highlight w:val="none"/>
        </w:rPr>
      </w:r>
      <w:r>
        <w:rPr>
          <w:iCs/>
          <w:caps/>
          <w:highlight w:val="none"/>
        </w:rPr>
      </w:r>
    </w:p>
    <w:p>
      <w:pPr>
        <w:ind w:left="0" w:right="0" w:firstLine="425"/>
        <w:jc w:val="both"/>
        <w:shd w:val="nil" w:color="000000"/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  <w:t xml:space="preserve">Приложение № 1: Ведомость объемов работ;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ind w:left="0" w:right="0" w:firstLine="425"/>
        <w:jc w:val="both"/>
        <w:shd w:val="nil" w:color="000000"/>
        <w:rPr>
          <w:sz w:val="24"/>
          <w:szCs w:val="24"/>
          <w:highlight w:val="none"/>
          <w14:ligatures w14:val="none"/>
        </w:rPr>
      </w:pPr>
      <w:r>
        <w:rPr>
          <w:sz w:val="24"/>
          <w:szCs w:val="24"/>
          <w:highlight w:val="none"/>
          <w14:ligatures w14:val="none"/>
        </w:rPr>
        <w:t xml:space="preserve">Приложение № 2: Калькуляция.</w:t>
      </w:r>
      <w:r>
        <w:rPr>
          <w:sz w:val="24"/>
          <w:szCs w:val="24"/>
          <w:highlight w:val="none"/>
          <w14:ligatures w14:val="none"/>
        </w:rPr>
      </w:r>
      <w:r>
        <w:rPr>
          <w:sz w:val="24"/>
          <w:szCs w:val="24"/>
          <w:highlight w:val="none"/>
          <w14:ligatures w14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1056"/>
          <w:b w:val="0"/>
          <w:bCs/>
          <w:iCs/>
          <w:sz w:val="24"/>
          <w:szCs w:val="24"/>
          <w:highlight w:val="none"/>
        </w:rPr>
      </w:pPr>
      <w:r>
        <w:rPr>
          <w:rStyle w:val="1056"/>
          <w:b w:val="0"/>
          <w:bCs/>
          <w:iCs/>
          <w:sz w:val="24"/>
          <w:szCs w:val="24"/>
          <w:highlight w:val="none"/>
        </w:rPr>
      </w:r>
      <w:r>
        <w:rPr>
          <w:rStyle w:val="1056"/>
          <w:b w:val="0"/>
          <w:bCs/>
          <w:iCs/>
          <w:sz w:val="24"/>
          <w:szCs w:val="24"/>
          <w:highlight w:val="none"/>
        </w:rPr>
      </w:r>
      <w:r>
        <w:rPr>
          <w:rStyle w:val="1056"/>
          <w:b w:val="0"/>
          <w:bCs/>
          <w:iCs/>
          <w:sz w:val="24"/>
          <w:szCs w:val="24"/>
          <w:highlight w:val="none"/>
        </w:rPr>
      </w:r>
    </w:p>
    <w:p>
      <w:pPr>
        <w:spacing w:after="120"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panchenko_iv" w:date="2025-09-30T14:36:10Z" w:initials="p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я заполняю)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потом)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зависимости от состава ТТ...</w:t>
      </w:r>
    </w:p>
  </w:comment>
  <w:comment w:id="4" w:author="panchenko_iv" w:date="2025-09-30T14:35:50Z" w:initials="p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я заполняю)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потом)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зависимости от расчётов и сметной документации...</w:t>
      </w:r>
    </w:p>
  </w:comment>
  <w:comment w:id="3" w:author="panchenko_iv" w:date="2025-09-30T14:35:37Z" w:initials="p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я заполняю)</w:t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потом)</w:t>
      </w:r>
    </w:p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зависимости от расчётов и сметной документации...</w:t>
      </w:r>
    </w:p>
  </w:comment>
  <w:comment w:id="2" w:author="panchenko_iv" w:date="2025-09-30T14:26:42Z" w:initials="p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Исполнитель и Заказчик составляет инструкции?</w:t>
      </w:r>
    </w:p>
  </w:comment>
  <w:comment w:id="1" w:author="panchenko_iv" w:date="2025-09-30T14:29:29Z" w:initials="p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я бы назвала этот пункт "Требования к безопасности оказания услуг"</w:t>
      </w:r>
    </w:p>
  </w:comment>
  <w:comment w:id="0" w:author="panchenko_iv" w:date="2025-09-30T14:12:19Z" w:initials="p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я отредактирую по итогам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3" w15:done="1"/>
  <w15:commentEx w15:paraId="00000006" w15:done="1"/>
  <w15:commentEx w15:paraId="00000009" w15:done="1"/>
  <w15:commentEx w15:paraId="0000000A" w15:done="0"/>
  <w15:commentEx w15:paraId="0000000B" w15:done="1"/>
  <w15:commentEx w15:paraId="0000000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5D4BA98" w16cex:dateUtc="2025-09-30T04:36:10Z"/>
  <w16cex:commentExtensible w16cex:durableId="195FDD2E" w16cex:dateUtc="2025-09-30T04:35:50Z"/>
  <w16cex:commentExtensible w16cex:durableId="40CD27D3" w16cex:dateUtc="2025-09-30T04:35:37Z"/>
  <w16cex:commentExtensible w16cex:durableId="27861E8E" w16cex:dateUtc="2025-09-30T04:26:42Z"/>
  <w16cex:commentExtensible w16cex:durableId="463FEC1A" w16cex:dateUtc="2025-09-30T04:29:29Z"/>
  <w16cex:commentExtensible w16cex:durableId="790F3D29" w16cex:dateUtc="2025-09-30T04:12:1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3" w16cid:durableId="15D4BA98"/>
  <w16cid:commentId w16cid:paraId="00000006" w16cid:durableId="195FDD2E"/>
  <w16cid:commentId w16cid:paraId="00000009" w16cid:durableId="40CD27D3"/>
  <w16cid:commentId w16cid:paraId="0000000A" w16cid:durableId="27861E8E"/>
  <w16cid:commentId w16cid:paraId="0000000B" w16cid:durableId="463FEC1A"/>
  <w16cid:commentId w16cid:paraId="0000000C" w16cid:durableId="790F3D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13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rPr>
        <w:rStyle w:val="992"/>
      </w:rPr>
      <w:framePr w:wrap="around" w:vAnchor="text" w:hAnchor="margin" w:xAlign="center" w:y="1"/>
    </w:pPr>
    <w:r>
      <w:rPr>
        <w:rStyle w:val="992"/>
      </w:rPr>
      <w:fldChar w:fldCharType="begin"/>
    </w:r>
    <w:r>
      <w:rPr>
        <w:rStyle w:val="992"/>
      </w:rPr>
      <w:instrText xml:space="preserve">PAGE  </w:instrText>
    </w:r>
    <w:r>
      <w:rPr>
        <w:rStyle w:val="992"/>
      </w:rPr>
      <w:fldChar w:fldCharType="separate"/>
    </w:r>
    <w:r>
      <w:rPr>
        <w:rStyle w:val="992"/>
      </w:rPr>
      <w:t xml:space="preserve">1</w:t>
    </w:r>
    <w:r>
      <w:rPr>
        <w:rStyle w:val="992"/>
      </w:rPr>
      <w:fldChar w:fldCharType="end"/>
    </w:r>
    <w:r>
      <w:rPr>
        <w:rStyle w:val="992"/>
      </w:rPr>
    </w:r>
    <w:r>
      <w:rPr>
        <w:rStyle w:val="992"/>
      </w:rPr>
    </w:r>
  </w:p>
  <w:p>
    <w:pPr>
      <w:pStyle w:val="98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86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multiLevelType w:val="hybridMultilevel"/>
    <w:lvl w:ilvl="0">
      <w:start w:val="4"/>
      <w:numFmt w:val="bullet"/>
      <w:pStyle w:val="104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4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3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1053"/>
    <w:lvl w:ilvl="0">
      <w:start w:val="1"/>
      <w:numFmt w:val="decimal"/>
      <w:pStyle w:val="105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pStyle w:val="81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1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1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pStyle w:val="107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2">
    <w:multiLevelType w:val="hybridMultilevel"/>
    <w:styleLink w:val="1049"/>
    <w:lvl w:ilvl="0">
      <w:start w:val="3"/>
      <w:numFmt w:val="decimal"/>
      <w:pStyle w:val="104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pStyle w:val="97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7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5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6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6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6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6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5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2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0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7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4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1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8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60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none"/>
      <w:isLgl w:val="false"/>
      <w:suff w:val="tab"/>
      <w:lvlText w:val="2.3.1"/>
      <w:lvlJc w:val="left"/>
      <w:pPr>
        <w:ind w:left="1069" w:hanging="360"/>
      </w:pPr>
      <w:rPr>
        <w:b w:val="0"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50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3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3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</w:pPr>
    </w:lvl>
  </w:abstractNum>
  <w:abstractNum w:abstractNumId="39">
    <w:multiLevelType w:val="hybridMultilevel"/>
    <w:lvl w:ilvl="0">
      <w:start w:val="1"/>
      <w:numFmt w:val="none"/>
      <w:isLgl w:val="false"/>
      <w:suff w:val="tab"/>
      <w:lvlText w:val="2.3.1"/>
      <w:lvlJc w:val="left"/>
      <w:pPr>
        <w:ind w:left="1069" w:hanging="360"/>
      </w:pPr>
      <w:rPr>
        <w:b w:val="0"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50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3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3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501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3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3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44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6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8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0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2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4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6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8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04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8"/>
  </w:num>
  <w:num w:numId="3">
    <w:abstractNumId w:val="22"/>
  </w:num>
  <w:num w:numId="4">
    <w:abstractNumId w:val="15"/>
  </w:num>
  <w:num w:numId="5">
    <w:abstractNumId w:val="11"/>
  </w:num>
  <w:num w:numId="6">
    <w:abstractNumId w:val="30"/>
  </w:num>
  <w:num w:numId="7">
    <w:abstractNumId w:val="19"/>
  </w:num>
  <w:num w:numId="8">
    <w:abstractNumId w:val="7"/>
  </w:num>
  <w:num w:numId="9">
    <w:abstractNumId w:val="10"/>
  </w:num>
  <w:num w:numId="10">
    <w:abstractNumId w:val="0"/>
  </w:num>
  <w:num w:numId="11">
    <w:abstractNumId w:val="2"/>
  </w:num>
  <w:num w:numId="12">
    <w:abstractNumId w:val="28"/>
  </w:num>
  <w:num w:numId="13">
    <w:abstractNumId w:val="9"/>
  </w:num>
  <w:num w:numId="14">
    <w:abstractNumId w:val="1"/>
  </w:num>
  <w:num w:numId="15">
    <w:abstractNumId w:val="16"/>
  </w:num>
  <w:num w:numId="16">
    <w:abstractNumId w:val="4"/>
  </w:num>
  <w:num w:numId="17">
    <w:abstractNumId w:val="20"/>
  </w:num>
  <w:num w:numId="18">
    <w:abstractNumId w:val="21"/>
  </w:num>
  <w:num w:numId="19">
    <w:abstractNumId w:val="17"/>
  </w:num>
  <w:num w:numId="20">
    <w:abstractNumId w:val="18"/>
  </w:num>
  <w:num w:numId="21">
    <w:abstractNumId w:val="6"/>
  </w:num>
  <w:num w:numId="22">
    <w:abstractNumId w:val="25"/>
  </w:num>
  <w:num w:numId="23">
    <w:abstractNumId w:val="31"/>
  </w:num>
  <w:num w:numId="24">
    <w:abstractNumId w:val="23"/>
  </w:num>
  <w:num w:numId="25">
    <w:abstractNumId w:val="12"/>
  </w:num>
  <w:num w:numId="26">
    <w:abstractNumId w:val="5"/>
  </w:num>
  <w:num w:numId="27">
    <w:abstractNumId w:val="24"/>
  </w:num>
  <w:num w:numId="28">
    <w:abstractNumId w:val="27"/>
  </w:num>
  <w:num w:numId="29">
    <w:abstractNumId w:val="14"/>
  </w:num>
  <w:num w:numId="30">
    <w:abstractNumId w:val="3"/>
  </w:num>
  <w:num w:numId="31">
    <w:abstractNumId w:val="13"/>
  </w:num>
  <w:num w:numId="32">
    <w:abstractNumId w:val="26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chenko_iv">
    <w15:presenceInfo w15:providerId="Teamlab" w15:userId="panchenko_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0">
    <w:name w:val="Title Char"/>
    <w:basedOn w:val="823"/>
    <w:link w:val="835"/>
    <w:uiPriority w:val="10"/>
    <w:rPr>
      <w:sz w:val="48"/>
      <w:szCs w:val="48"/>
    </w:rPr>
  </w:style>
  <w:style w:type="character" w:styleId="811">
    <w:name w:val="Footer Char"/>
    <w:basedOn w:val="823"/>
    <w:link w:val="983"/>
    <w:uiPriority w:val="99"/>
  </w:style>
  <w:style w:type="character" w:styleId="812">
    <w:name w:val="Caption Char"/>
    <w:basedOn w:val="823"/>
    <w:link w:val="1020"/>
    <w:uiPriority w:val="35"/>
    <w:rPr>
      <w:b/>
      <w:bCs/>
      <w:color w:val="4f81bd" w:themeColor="accent1"/>
      <w:sz w:val="18"/>
      <w:szCs w:val="18"/>
    </w:rPr>
  </w:style>
  <w:style w:type="paragraph" w:styleId="813" w:default="1">
    <w:name w:val="Normal"/>
    <w:qFormat/>
    <w:rPr>
      <w:sz w:val="28"/>
      <w:szCs w:val="28"/>
    </w:rPr>
  </w:style>
  <w:style w:type="paragraph" w:styleId="814">
    <w:name w:val="Heading 1"/>
    <w:basedOn w:val="816"/>
    <w:next w:val="813"/>
    <w:link w:val="1012"/>
    <w:qFormat/>
    <w:pPr>
      <w:numPr>
        <w:ilvl w:val="0"/>
      </w:numPr>
      <w:outlineLvl w:val="0"/>
    </w:pPr>
    <w:rPr>
      <w:sz w:val="28"/>
      <w:szCs w:val="28"/>
    </w:rPr>
  </w:style>
  <w:style w:type="paragraph" w:styleId="815">
    <w:name w:val="Heading 2"/>
    <w:basedOn w:val="817"/>
    <w:next w:val="813"/>
    <w:link w:val="1014"/>
    <w:qFormat/>
    <w:pPr>
      <w:outlineLvl w:val="1"/>
    </w:pPr>
  </w:style>
  <w:style w:type="paragraph" w:styleId="816">
    <w:name w:val="Heading 3"/>
    <w:basedOn w:val="813"/>
    <w:next w:val="813"/>
    <w:link w:val="1015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17">
    <w:name w:val="Heading 4"/>
    <w:basedOn w:val="816"/>
    <w:next w:val="813"/>
    <w:link w:val="1016"/>
    <w:qFormat/>
    <w:pPr>
      <w:numPr>
        <w:ilvl w:val="1"/>
      </w:numPr>
      <w:outlineLvl w:val="3"/>
    </w:pPr>
    <w:rPr>
      <w:bCs/>
    </w:rPr>
  </w:style>
  <w:style w:type="paragraph" w:styleId="818">
    <w:name w:val="Heading 5"/>
    <w:basedOn w:val="813"/>
    <w:next w:val="813"/>
    <w:link w:val="101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19">
    <w:name w:val="Heading 6"/>
    <w:basedOn w:val="813"/>
    <w:next w:val="813"/>
    <w:link w:val="1009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20">
    <w:name w:val="Heading 7"/>
    <w:basedOn w:val="813"/>
    <w:next w:val="813"/>
    <w:link w:val="1010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21">
    <w:name w:val="Heading 8"/>
    <w:basedOn w:val="813"/>
    <w:next w:val="813"/>
    <w:link w:val="1011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22">
    <w:name w:val="Heading 9"/>
    <w:basedOn w:val="813"/>
    <w:next w:val="813"/>
    <w:link w:val="101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23" w:default="1">
    <w:name w:val="Default Paragraph Font"/>
    <w:uiPriority w:val="1"/>
    <w:semiHidden/>
    <w:unhideWhenUsed/>
  </w:style>
  <w:style w:type="table" w:styleId="8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5" w:default="1">
    <w:name w:val="No List"/>
    <w:uiPriority w:val="99"/>
    <w:semiHidden/>
    <w:unhideWhenUsed/>
  </w:style>
  <w:style w:type="character" w:styleId="826" w:customStyle="1">
    <w:name w:val="Heading 1 Char"/>
    <w:basedOn w:val="823"/>
    <w:uiPriority w:val="9"/>
    <w:rPr>
      <w:rFonts w:ascii="Arial" w:hAnsi="Arial" w:eastAsia="Arial" w:cs="Arial"/>
      <w:sz w:val="40"/>
      <w:szCs w:val="40"/>
    </w:rPr>
  </w:style>
  <w:style w:type="character" w:styleId="827" w:customStyle="1">
    <w:name w:val="Heading 2 Char"/>
    <w:basedOn w:val="823"/>
    <w:uiPriority w:val="9"/>
    <w:rPr>
      <w:rFonts w:ascii="Arial" w:hAnsi="Arial" w:eastAsia="Arial" w:cs="Arial"/>
      <w:sz w:val="34"/>
    </w:rPr>
  </w:style>
  <w:style w:type="character" w:styleId="828" w:customStyle="1">
    <w:name w:val="Heading 3 Char"/>
    <w:basedOn w:val="823"/>
    <w:uiPriority w:val="9"/>
    <w:rPr>
      <w:rFonts w:ascii="Arial" w:hAnsi="Arial" w:eastAsia="Arial" w:cs="Arial"/>
      <w:sz w:val="30"/>
      <w:szCs w:val="30"/>
    </w:rPr>
  </w:style>
  <w:style w:type="character" w:styleId="829" w:customStyle="1">
    <w:name w:val="Heading 4 Char"/>
    <w:basedOn w:val="823"/>
    <w:uiPriority w:val="9"/>
    <w:rPr>
      <w:rFonts w:ascii="Arial" w:hAnsi="Arial" w:eastAsia="Arial" w:cs="Arial"/>
      <w:b/>
      <w:bCs/>
      <w:sz w:val="26"/>
      <w:szCs w:val="26"/>
    </w:rPr>
  </w:style>
  <w:style w:type="character" w:styleId="830" w:customStyle="1">
    <w:name w:val="Heading 5 Char"/>
    <w:basedOn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31" w:customStyle="1">
    <w:name w:val="Heading 6 Char"/>
    <w:basedOn w:val="823"/>
    <w:uiPriority w:val="9"/>
    <w:rPr>
      <w:rFonts w:ascii="Arial" w:hAnsi="Arial" w:eastAsia="Arial" w:cs="Arial"/>
      <w:b/>
      <w:bCs/>
      <w:sz w:val="22"/>
      <w:szCs w:val="22"/>
    </w:rPr>
  </w:style>
  <w:style w:type="character" w:styleId="832" w:customStyle="1">
    <w:name w:val="Heading 7 Char"/>
    <w:basedOn w:val="8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3" w:customStyle="1">
    <w:name w:val="Heading 8 Char"/>
    <w:basedOn w:val="823"/>
    <w:uiPriority w:val="9"/>
    <w:rPr>
      <w:rFonts w:ascii="Arial" w:hAnsi="Arial" w:eastAsia="Arial" w:cs="Arial"/>
      <w:i/>
      <w:iCs/>
      <w:sz w:val="22"/>
      <w:szCs w:val="22"/>
    </w:rPr>
  </w:style>
  <w:style w:type="character" w:styleId="834" w:customStyle="1">
    <w:name w:val="Heading 9 Char"/>
    <w:basedOn w:val="823"/>
    <w:uiPriority w:val="9"/>
    <w:rPr>
      <w:rFonts w:ascii="Arial" w:hAnsi="Arial" w:eastAsia="Arial" w:cs="Arial"/>
      <w:i/>
      <w:iCs/>
      <w:sz w:val="21"/>
      <w:szCs w:val="21"/>
    </w:rPr>
  </w:style>
  <w:style w:type="paragraph" w:styleId="835">
    <w:name w:val="Title"/>
    <w:basedOn w:val="813"/>
    <w:next w:val="813"/>
    <w:link w:val="8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6" w:customStyle="1">
    <w:name w:val="Заголовок Знак"/>
    <w:basedOn w:val="823"/>
    <w:link w:val="835"/>
    <w:uiPriority w:val="10"/>
    <w:rPr>
      <w:sz w:val="48"/>
      <w:szCs w:val="48"/>
    </w:rPr>
  </w:style>
  <w:style w:type="character" w:styleId="837" w:customStyle="1">
    <w:name w:val="Subtitle Char"/>
    <w:basedOn w:val="823"/>
    <w:uiPriority w:val="11"/>
    <w:rPr>
      <w:sz w:val="24"/>
      <w:szCs w:val="24"/>
    </w:rPr>
  </w:style>
  <w:style w:type="character" w:styleId="838" w:customStyle="1">
    <w:name w:val="Quote Char"/>
    <w:uiPriority w:val="29"/>
    <w:rPr>
      <w:i/>
    </w:rPr>
  </w:style>
  <w:style w:type="character" w:styleId="839" w:customStyle="1">
    <w:name w:val="Intense Quote Char"/>
    <w:uiPriority w:val="30"/>
    <w:rPr>
      <w:i/>
    </w:rPr>
  </w:style>
  <w:style w:type="character" w:styleId="840" w:customStyle="1">
    <w:name w:val="Header Char"/>
    <w:basedOn w:val="823"/>
    <w:uiPriority w:val="99"/>
  </w:style>
  <w:style w:type="character" w:styleId="841" w:customStyle="1">
    <w:name w:val="Нижний колонтитул Знак"/>
    <w:basedOn w:val="823"/>
    <w:link w:val="983"/>
    <w:uiPriority w:val="99"/>
  </w:style>
  <w:style w:type="character" w:styleId="842" w:customStyle="1">
    <w:name w:val="Название объекта Знак"/>
    <w:basedOn w:val="823"/>
    <w:link w:val="1020"/>
    <w:uiPriority w:val="35"/>
    <w:rPr>
      <w:b/>
      <w:bCs/>
      <w:color w:val="4472c4" w:themeColor="accent1"/>
      <w:sz w:val="18"/>
      <w:szCs w:val="18"/>
    </w:rPr>
  </w:style>
  <w:style w:type="table" w:styleId="843" w:customStyle="1">
    <w:name w:val="Table Grid Light"/>
    <w:basedOn w:val="82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4">
    <w:name w:val="Plain Table 1"/>
    <w:basedOn w:val="82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>
    <w:name w:val="Plain Table 2"/>
    <w:basedOn w:val="82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6">
    <w:name w:val="Plain Table 3"/>
    <w:basedOn w:val="82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7">
    <w:name w:val="Plain Table 4"/>
    <w:basedOn w:val="82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Plain Table 5"/>
    <w:basedOn w:val="82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9">
    <w:name w:val="Grid Table 1 Light"/>
    <w:basedOn w:val="82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1"/>
    <w:basedOn w:val="82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2"/>
    <w:basedOn w:val="82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3"/>
    <w:basedOn w:val="82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4"/>
    <w:basedOn w:val="82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5"/>
    <w:basedOn w:val="82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6"/>
    <w:basedOn w:val="82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Grid Table 2"/>
    <w:basedOn w:val="82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1"/>
    <w:basedOn w:val="82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2"/>
    <w:basedOn w:val="82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3"/>
    <w:basedOn w:val="82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4"/>
    <w:basedOn w:val="82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5"/>
    <w:basedOn w:val="82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6"/>
    <w:basedOn w:val="82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"/>
    <w:basedOn w:val="82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1"/>
    <w:basedOn w:val="824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2"/>
    <w:basedOn w:val="824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3"/>
    <w:basedOn w:val="824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4"/>
    <w:basedOn w:val="824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5"/>
    <w:basedOn w:val="824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6"/>
    <w:basedOn w:val="824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4"/>
    <w:basedOn w:val="82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1" w:customStyle="1">
    <w:name w:val="Grid Table 4 - Accent 1"/>
    <w:basedOn w:val="824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72" w:customStyle="1">
    <w:name w:val="Grid Table 4 - Accent 2"/>
    <w:basedOn w:val="824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3" w:customStyle="1">
    <w:name w:val="Grid Table 4 - Accent 3"/>
    <w:basedOn w:val="824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4" w:customStyle="1">
    <w:name w:val="Grid Table 4 - Accent 4"/>
    <w:basedOn w:val="824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5" w:customStyle="1">
    <w:name w:val="Grid Table 4 - Accent 5"/>
    <w:basedOn w:val="824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76" w:customStyle="1">
    <w:name w:val="Grid Table 4 - Accent 6"/>
    <w:basedOn w:val="824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7">
    <w:name w:val="Grid Table 5 Dark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- Accent 1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2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 - Accent 3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- Accent 4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5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6"/>
    <w:basedOn w:val="82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84">
    <w:name w:val="Grid Table 6 Colorful"/>
    <w:basedOn w:val="82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5" w:customStyle="1">
    <w:name w:val="Grid Table 6 Colorful - Accent 1"/>
    <w:basedOn w:val="824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86" w:customStyle="1">
    <w:name w:val="Grid Table 6 Colorful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7" w:customStyle="1">
    <w:name w:val="Grid Table 6 Colorful - Accent 3"/>
    <w:basedOn w:val="824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8" w:customStyle="1">
    <w:name w:val="Grid Table 6 Colorful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9" w:customStyle="1">
    <w:name w:val="Grid Table 6 Colorful - Accent 5"/>
    <w:basedOn w:val="824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90" w:customStyle="1">
    <w:name w:val="Grid Table 6 Colorful - Accent 6"/>
    <w:basedOn w:val="824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91">
    <w:name w:val="Grid Table 7 Colorful"/>
    <w:basedOn w:val="82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1"/>
    <w:basedOn w:val="824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7 Colorful - Accent 2"/>
    <w:basedOn w:val="824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7 Colorful - Accent 3"/>
    <w:basedOn w:val="824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7 Colorful - Accent 4"/>
    <w:basedOn w:val="824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7 Colorful - Accent 5"/>
    <w:basedOn w:val="824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7 Colorful - Accent 6"/>
    <w:basedOn w:val="824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"/>
    <w:basedOn w:val="82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1"/>
    <w:basedOn w:val="824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2"/>
    <w:basedOn w:val="824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3"/>
    <w:basedOn w:val="824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4"/>
    <w:basedOn w:val="824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5"/>
    <w:basedOn w:val="824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6"/>
    <w:basedOn w:val="824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List Table 2"/>
    <w:basedOn w:val="82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1"/>
    <w:basedOn w:val="824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2"/>
    <w:basedOn w:val="824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3"/>
    <w:basedOn w:val="824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4"/>
    <w:basedOn w:val="824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5"/>
    <w:basedOn w:val="824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6"/>
    <w:basedOn w:val="824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2">
    <w:name w:val="List Table 3"/>
    <w:basedOn w:val="82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1"/>
    <w:basedOn w:val="824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3"/>
    <w:basedOn w:val="824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5"/>
    <w:basedOn w:val="824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6"/>
    <w:basedOn w:val="824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"/>
    <w:basedOn w:val="82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1"/>
    <w:basedOn w:val="824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2"/>
    <w:basedOn w:val="824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3"/>
    <w:basedOn w:val="824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4"/>
    <w:basedOn w:val="824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5"/>
    <w:basedOn w:val="824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6"/>
    <w:basedOn w:val="824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5 Dark"/>
    <w:basedOn w:val="82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1"/>
    <w:basedOn w:val="824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3"/>
    <w:basedOn w:val="824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5"/>
    <w:basedOn w:val="824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6"/>
    <w:basedOn w:val="824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>
    <w:name w:val="List Table 6 Colorful"/>
    <w:basedOn w:val="82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4" w:customStyle="1">
    <w:name w:val="List Table 6 Colorful - Accent 1"/>
    <w:basedOn w:val="824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35" w:customStyle="1">
    <w:name w:val="List Table 6 Colorful - Accent 2"/>
    <w:basedOn w:val="824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6" w:customStyle="1">
    <w:name w:val="List Table 6 Colorful - Accent 3"/>
    <w:basedOn w:val="824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7" w:customStyle="1">
    <w:name w:val="List Table 6 Colorful - Accent 4"/>
    <w:basedOn w:val="824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8" w:customStyle="1">
    <w:name w:val="List Table 6 Colorful - Accent 5"/>
    <w:basedOn w:val="824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39" w:customStyle="1">
    <w:name w:val="List Table 6 Colorful - Accent 6"/>
    <w:basedOn w:val="824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40">
    <w:name w:val="List Table 7 Colorful"/>
    <w:basedOn w:val="82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1"/>
    <w:basedOn w:val="824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7 Colorful - Accent 2"/>
    <w:basedOn w:val="824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7 Colorful - Accent 3"/>
    <w:basedOn w:val="824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7 Colorful - Accent 4"/>
    <w:basedOn w:val="824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List Table 7 Colorful - Accent 5"/>
    <w:basedOn w:val="824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7 Colorful - Accent 6"/>
    <w:basedOn w:val="824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ned - Accent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8" w:customStyle="1">
    <w:name w:val="Lined - Accent 1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49" w:customStyle="1">
    <w:name w:val="Lined - Accent 2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0" w:customStyle="1">
    <w:name w:val="Lined - Accent 3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1" w:customStyle="1">
    <w:name w:val="Lined - Accent 4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2" w:customStyle="1">
    <w:name w:val="Lined - Accent 5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53" w:customStyle="1">
    <w:name w:val="Lined - Accent 6"/>
    <w:basedOn w:val="82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4" w:customStyle="1">
    <w:name w:val="Bordered &amp; Lined - Accent"/>
    <w:basedOn w:val="82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5" w:customStyle="1">
    <w:name w:val="Bordered &amp; Lined - Accent 1"/>
    <w:basedOn w:val="824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56" w:customStyle="1">
    <w:name w:val="Bordered &amp; Lined - Accent 2"/>
    <w:basedOn w:val="824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7" w:customStyle="1">
    <w:name w:val="Bordered &amp; Lined - Accent 3"/>
    <w:basedOn w:val="824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8" w:customStyle="1">
    <w:name w:val="Bordered &amp; Lined - Accent 4"/>
    <w:basedOn w:val="824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9" w:customStyle="1">
    <w:name w:val="Bordered &amp; Lined - Accent 5"/>
    <w:basedOn w:val="824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60" w:customStyle="1">
    <w:name w:val="Bordered &amp; Lined - Accent 6"/>
    <w:basedOn w:val="824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1" w:customStyle="1">
    <w:name w:val="Bordered"/>
    <w:basedOn w:val="82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2" w:customStyle="1">
    <w:name w:val="Bordered - Accent 1"/>
    <w:basedOn w:val="824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63" w:customStyle="1">
    <w:name w:val="Bordered - Accent 2"/>
    <w:basedOn w:val="824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4" w:customStyle="1">
    <w:name w:val="Bordered - Accent 3"/>
    <w:basedOn w:val="824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5" w:customStyle="1">
    <w:name w:val="Bordered - Accent 4"/>
    <w:basedOn w:val="824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6" w:customStyle="1">
    <w:name w:val="Bordered - Accent 5"/>
    <w:basedOn w:val="824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67" w:customStyle="1">
    <w:name w:val="Bordered - Accent 6"/>
    <w:basedOn w:val="824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8" w:customStyle="1">
    <w:name w:val="Footnote Text Char"/>
    <w:uiPriority w:val="99"/>
    <w:rPr>
      <w:sz w:val="18"/>
    </w:rPr>
  </w:style>
  <w:style w:type="character" w:styleId="969" w:customStyle="1">
    <w:name w:val="Endnote Text Char"/>
    <w:uiPriority w:val="99"/>
    <w:rPr>
      <w:sz w:val="20"/>
    </w:rPr>
  </w:style>
  <w:style w:type="paragraph" w:styleId="970">
    <w:name w:val="table of figures"/>
    <w:basedOn w:val="813"/>
    <w:next w:val="813"/>
    <w:uiPriority w:val="99"/>
    <w:unhideWhenUsed/>
  </w:style>
  <w:style w:type="paragraph" w:styleId="971" w:customStyle="1">
    <w:name w:val="Название раздела инструкции"/>
    <w:basedOn w:val="813"/>
    <w:pPr>
      <w:jc w:val="center"/>
    </w:pPr>
    <w:rPr>
      <w:b/>
    </w:rPr>
  </w:style>
  <w:style w:type="paragraph" w:styleId="972" w:customStyle="1">
    <w:name w:val="Раздел положения"/>
    <w:basedOn w:val="81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73" w:customStyle="1">
    <w:name w:val="Подраздел раздела положения"/>
    <w:basedOn w:val="813"/>
    <w:pPr>
      <w:numPr>
        <w:ilvl w:val="1"/>
        <w:numId w:val="1"/>
      </w:numPr>
      <w:jc w:val="both"/>
      <w:spacing w:before="80" w:after="80"/>
    </w:pPr>
  </w:style>
  <w:style w:type="paragraph" w:styleId="974">
    <w:name w:val="footnote text"/>
    <w:basedOn w:val="813"/>
    <w:link w:val="1048"/>
    <w:rPr>
      <w:sz w:val="20"/>
      <w:szCs w:val="20"/>
    </w:rPr>
  </w:style>
  <w:style w:type="character" w:styleId="975">
    <w:name w:val="footnote reference"/>
    <w:rPr>
      <w:vertAlign w:val="superscript"/>
    </w:rPr>
  </w:style>
  <w:style w:type="paragraph" w:styleId="976" w:customStyle="1">
    <w:name w:val="Шапка 1"/>
    <w:basedOn w:val="81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77" w:customStyle="1">
    <w:name w:val="Шапка 2"/>
    <w:basedOn w:val="81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8" w:customStyle="1">
    <w:name w:val="Шапка 3"/>
    <w:basedOn w:val="81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9" w:customStyle="1">
    <w:name w:val="Название1"/>
    <w:basedOn w:val="813"/>
    <w:link w:val="1021"/>
    <w:uiPriority w:val="10"/>
    <w:qFormat/>
    <w:pPr>
      <w:jc w:val="center"/>
    </w:pPr>
    <w:rPr>
      <w:szCs w:val="20"/>
    </w:rPr>
  </w:style>
  <w:style w:type="paragraph" w:styleId="980">
    <w:name w:val="Header"/>
    <w:basedOn w:val="813"/>
    <w:link w:val="1065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81">
    <w:name w:val="Body Text Indent"/>
    <w:basedOn w:val="813"/>
    <w:pPr>
      <w:ind w:left="360"/>
    </w:pPr>
    <w:rPr>
      <w:sz w:val="24"/>
      <w:szCs w:val="24"/>
    </w:rPr>
  </w:style>
  <w:style w:type="table" w:styleId="982">
    <w:name w:val="Table Grid"/>
    <w:basedOn w:val="82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>
    <w:name w:val="Footer"/>
    <w:basedOn w:val="813"/>
    <w:link w:val="841"/>
    <w:pPr>
      <w:tabs>
        <w:tab w:val="center" w:pos="4677" w:leader="none"/>
        <w:tab w:val="right" w:pos="9355" w:leader="none"/>
      </w:tabs>
    </w:pPr>
  </w:style>
  <w:style w:type="paragraph" w:styleId="984">
    <w:name w:val="Body Text"/>
    <w:basedOn w:val="813"/>
    <w:link w:val="1051"/>
    <w:pPr>
      <w:spacing w:after="120"/>
    </w:pPr>
  </w:style>
  <w:style w:type="paragraph" w:styleId="985">
    <w:name w:val="Body Text Indent 2"/>
    <w:basedOn w:val="813"/>
    <w:pPr>
      <w:ind w:left="283"/>
      <w:spacing w:after="120" w:line="480" w:lineRule="auto"/>
    </w:pPr>
  </w:style>
  <w:style w:type="paragraph" w:styleId="986">
    <w:name w:val="Body Text 3"/>
    <w:basedOn w:val="813"/>
    <w:pPr>
      <w:spacing w:after="120"/>
    </w:pPr>
    <w:rPr>
      <w:sz w:val="16"/>
      <w:szCs w:val="16"/>
    </w:rPr>
  </w:style>
  <w:style w:type="paragraph" w:styleId="987">
    <w:name w:val="Body Text Indent 3"/>
    <w:basedOn w:val="813"/>
    <w:pPr>
      <w:ind w:left="283"/>
      <w:spacing w:after="120"/>
    </w:pPr>
    <w:rPr>
      <w:sz w:val="16"/>
      <w:szCs w:val="16"/>
    </w:rPr>
  </w:style>
  <w:style w:type="paragraph" w:styleId="988">
    <w:name w:val="Body Text 2"/>
    <w:basedOn w:val="813"/>
    <w:pPr>
      <w:spacing w:after="120" w:line="480" w:lineRule="auto"/>
    </w:pPr>
  </w:style>
  <w:style w:type="paragraph" w:styleId="989">
    <w:name w:val="Block Text"/>
    <w:basedOn w:val="813"/>
    <w:pPr>
      <w:ind w:left="-567" w:right="-766"/>
      <w:jc w:val="center"/>
    </w:pPr>
    <w:rPr>
      <w:b/>
      <w:bCs/>
      <w:sz w:val="24"/>
      <w:szCs w:val="20"/>
    </w:rPr>
  </w:style>
  <w:style w:type="paragraph" w:styleId="990" w:customStyle="1">
    <w:name w:val="Подпункт"/>
    <w:basedOn w:val="813"/>
    <w:link w:val="104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91" w:customStyle="1">
    <w:name w:val="Пункт2"/>
    <w:basedOn w:val="813"/>
    <w:link w:val="107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92">
    <w:name w:val="page number"/>
    <w:basedOn w:val="823"/>
  </w:style>
  <w:style w:type="paragraph" w:styleId="993">
    <w:name w:val="toc 1"/>
    <w:basedOn w:val="813"/>
    <w:next w:val="81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94">
    <w:name w:val="toc 3"/>
    <w:basedOn w:val="813"/>
    <w:next w:val="813"/>
    <w:uiPriority w:val="39"/>
    <w:pPr>
      <w:ind w:left="280"/>
    </w:pPr>
    <w:rPr>
      <w:rFonts w:cstheme="minorHAnsi"/>
      <w:sz w:val="20"/>
      <w:szCs w:val="20"/>
    </w:rPr>
  </w:style>
  <w:style w:type="character" w:styleId="995">
    <w:name w:val="Hyperlink"/>
    <w:uiPriority w:val="99"/>
    <w:rPr>
      <w:color w:val="0000ff"/>
      <w:u w:val="single"/>
    </w:rPr>
  </w:style>
  <w:style w:type="paragraph" w:styleId="996" w:customStyle="1">
    <w:name w:val="Раздел регламента"/>
    <w:basedOn w:val="813"/>
  </w:style>
  <w:style w:type="paragraph" w:styleId="997" w:customStyle="1">
    <w:name w:val="Приложение к регламенту"/>
    <w:basedOn w:val="813"/>
    <w:pPr>
      <w:jc w:val="right"/>
    </w:pPr>
  </w:style>
  <w:style w:type="paragraph" w:styleId="998">
    <w:name w:val="toc 2"/>
    <w:basedOn w:val="813"/>
    <w:next w:val="813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999">
    <w:name w:val="Balloon Text"/>
    <w:basedOn w:val="813"/>
    <w:semiHidden/>
    <w:rPr>
      <w:rFonts w:ascii="Tahoma" w:hAnsi="Tahoma" w:cs="Tahoma"/>
      <w:sz w:val="16"/>
      <w:szCs w:val="16"/>
    </w:rPr>
  </w:style>
  <w:style w:type="character" w:styleId="1000">
    <w:name w:val="annotation reference"/>
    <w:uiPriority w:val="99"/>
    <w:semiHidden/>
    <w:rPr>
      <w:sz w:val="16"/>
      <w:szCs w:val="16"/>
    </w:rPr>
  </w:style>
  <w:style w:type="paragraph" w:styleId="1001">
    <w:name w:val="annotation text"/>
    <w:basedOn w:val="813"/>
    <w:link w:val="1066"/>
    <w:rPr>
      <w:sz w:val="20"/>
      <w:szCs w:val="20"/>
    </w:rPr>
  </w:style>
  <w:style w:type="paragraph" w:styleId="1002">
    <w:name w:val="annotation subject"/>
    <w:basedOn w:val="1001"/>
    <w:next w:val="1001"/>
    <w:semiHidden/>
    <w:rPr>
      <w:b/>
      <w:bCs/>
    </w:rPr>
  </w:style>
  <w:style w:type="paragraph" w:styleId="1003" w:customStyle="1">
    <w:name w:val="Обычный (веб)1"/>
    <w:basedOn w:val="81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04">
    <w:name w:val="toc 9"/>
    <w:basedOn w:val="813"/>
    <w:next w:val="81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05">
    <w:name w:val="toc 5"/>
    <w:basedOn w:val="813"/>
    <w:next w:val="81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06">
    <w:name w:val="toc 4"/>
    <w:basedOn w:val="813"/>
    <w:next w:val="813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1007" w:customStyle="1">
    <w:name w:val="Раздел положения 2"/>
    <w:basedOn w:val="813"/>
    <w:pPr>
      <w:jc w:val="both"/>
      <w:pageBreakBefore/>
      <w:outlineLvl w:val="0"/>
    </w:pPr>
    <w:rPr>
      <w:b/>
    </w:rPr>
  </w:style>
  <w:style w:type="character" w:styleId="1008">
    <w:name w:val="Strong"/>
    <w:uiPriority w:val="22"/>
    <w:qFormat/>
    <w:rPr>
      <w:b/>
      <w:bCs/>
    </w:rPr>
  </w:style>
  <w:style w:type="character" w:styleId="1009" w:customStyle="1">
    <w:name w:val="Заголовок 6 Знак"/>
    <w:link w:val="819"/>
    <w:uiPriority w:val="9"/>
    <w:rPr>
      <w:rFonts w:ascii="Cambria" w:hAnsi="Cambria"/>
      <w:i/>
      <w:iCs/>
      <w:color w:val="243f60"/>
    </w:rPr>
  </w:style>
  <w:style w:type="character" w:styleId="1010" w:customStyle="1">
    <w:name w:val="Заголовок 7 Знак"/>
    <w:link w:val="820"/>
    <w:uiPriority w:val="9"/>
    <w:rPr>
      <w:rFonts w:ascii="Cambria" w:hAnsi="Cambria"/>
      <w:i/>
      <w:iCs/>
      <w:color w:val="404040"/>
    </w:rPr>
  </w:style>
  <w:style w:type="character" w:styleId="1011" w:customStyle="1">
    <w:name w:val="Заголовок 8 Знак"/>
    <w:link w:val="821"/>
    <w:uiPriority w:val="9"/>
    <w:rPr>
      <w:rFonts w:ascii="Cambria" w:hAnsi="Cambria"/>
      <w:color w:val="4f81bd"/>
    </w:rPr>
  </w:style>
  <w:style w:type="character" w:styleId="1012" w:customStyle="1">
    <w:name w:val="Заголовок 1 Знак"/>
    <w:link w:val="814"/>
    <w:rPr>
      <w:rFonts w:eastAsia="Calibri"/>
      <w:b/>
      <w:sz w:val="28"/>
      <w:szCs w:val="28"/>
    </w:rPr>
  </w:style>
  <w:style w:type="paragraph" w:styleId="1013" w:customStyle="1">
    <w:name w:val="Знак Знак Знак Знак Знак Знак Знак Знак Знак"/>
    <w:basedOn w:val="81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14" w:customStyle="1">
    <w:name w:val="Заголовок 2 Знак"/>
    <w:link w:val="815"/>
    <w:rPr>
      <w:rFonts w:eastAsia="Calibri"/>
      <w:b/>
      <w:bCs/>
      <w:sz w:val="24"/>
      <w:szCs w:val="24"/>
    </w:rPr>
  </w:style>
  <w:style w:type="character" w:styleId="1015" w:customStyle="1">
    <w:name w:val="Заголовок 3 Знак"/>
    <w:link w:val="816"/>
    <w:rPr>
      <w:rFonts w:eastAsia="Calibri"/>
      <w:b/>
      <w:sz w:val="24"/>
      <w:szCs w:val="24"/>
    </w:rPr>
  </w:style>
  <w:style w:type="character" w:styleId="1016" w:customStyle="1">
    <w:name w:val="Заголовок 4 Знак"/>
    <w:link w:val="817"/>
    <w:rPr>
      <w:rFonts w:eastAsia="Calibri"/>
      <w:b/>
      <w:bCs/>
      <w:sz w:val="24"/>
      <w:szCs w:val="24"/>
    </w:rPr>
  </w:style>
  <w:style w:type="character" w:styleId="1017" w:customStyle="1">
    <w:name w:val="Заголовок 5 Знак"/>
    <w:link w:val="818"/>
    <w:uiPriority w:val="9"/>
    <w:rPr>
      <w:b/>
      <w:bCs/>
      <w:i/>
      <w:iCs/>
      <w:sz w:val="26"/>
      <w:szCs w:val="26"/>
    </w:rPr>
  </w:style>
  <w:style w:type="character" w:styleId="1018" w:customStyle="1">
    <w:name w:val="Заголовок 9 Знак"/>
    <w:link w:val="822"/>
    <w:uiPriority w:val="9"/>
    <w:rPr>
      <w:rFonts w:ascii="Arial" w:hAnsi="Arial" w:cs="Arial"/>
      <w:sz w:val="22"/>
      <w:szCs w:val="22"/>
    </w:rPr>
  </w:style>
  <w:style w:type="paragraph" w:styleId="1019">
    <w:name w:val="No Spacing"/>
    <w:basedOn w:val="81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20">
    <w:name w:val="Caption"/>
    <w:basedOn w:val="813"/>
    <w:next w:val="813"/>
    <w:link w:val="842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21" w:customStyle="1">
    <w:name w:val="Название Знак"/>
    <w:link w:val="979"/>
    <w:uiPriority w:val="10"/>
    <w:rPr>
      <w:sz w:val="28"/>
    </w:rPr>
  </w:style>
  <w:style w:type="paragraph" w:styleId="1022">
    <w:name w:val="Subtitle"/>
    <w:basedOn w:val="813"/>
    <w:next w:val="813"/>
    <w:link w:val="102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23" w:customStyle="1">
    <w:name w:val="Подзаголовок Знак"/>
    <w:link w:val="102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24">
    <w:name w:val="Emphasis"/>
    <w:uiPriority w:val="20"/>
    <w:qFormat/>
    <w:rPr>
      <w:i/>
      <w:iCs/>
    </w:rPr>
  </w:style>
  <w:style w:type="paragraph" w:styleId="1025">
    <w:name w:val="List Paragraph"/>
    <w:basedOn w:val="813"/>
    <w:link w:val="105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26">
    <w:name w:val="Quote"/>
    <w:basedOn w:val="813"/>
    <w:next w:val="813"/>
    <w:link w:val="102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27" w:customStyle="1">
    <w:name w:val="Цитата 2 Знак"/>
    <w:link w:val="1026"/>
    <w:uiPriority w:val="29"/>
    <w:rPr>
      <w:rFonts w:ascii="Calibri" w:hAnsi="Calibri" w:eastAsia="Calibri"/>
      <w:i/>
      <w:iCs/>
      <w:color w:val="000000"/>
    </w:rPr>
  </w:style>
  <w:style w:type="paragraph" w:styleId="1028">
    <w:name w:val="Intense Quote"/>
    <w:basedOn w:val="813"/>
    <w:next w:val="813"/>
    <w:link w:val="102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29" w:customStyle="1">
    <w:name w:val="Выделенная цитата Знак"/>
    <w:link w:val="1028"/>
    <w:uiPriority w:val="30"/>
    <w:rPr>
      <w:rFonts w:ascii="Calibri" w:hAnsi="Calibri" w:eastAsia="Calibri"/>
      <w:b/>
      <w:bCs/>
      <w:i/>
      <w:iCs/>
      <w:color w:val="4f81bd"/>
    </w:rPr>
  </w:style>
  <w:style w:type="character" w:styleId="1030">
    <w:name w:val="Subtle Emphasis"/>
    <w:uiPriority w:val="19"/>
    <w:qFormat/>
    <w:rPr>
      <w:i/>
      <w:iCs/>
      <w:color w:val="808080"/>
    </w:rPr>
  </w:style>
  <w:style w:type="character" w:styleId="1031">
    <w:name w:val="Intense Emphasis"/>
    <w:uiPriority w:val="21"/>
    <w:qFormat/>
    <w:rPr>
      <w:b/>
      <w:bCs/>
      <w:i/>
      <w:iCs/>
      <w:color w:val="4f81bd"/>
    </w:rPr>
  </w:style>
  <w:style w:type="character" w:styleId="1032">
    <w:name w:val="Subtle Reference"/>
    <w:uiPriority w:val="31"/>
    <w:qFormat/>
    <w:rPr>
      <w:smallCaps/>
      <w:color w:val="c0504d"/>
      <w:u w:val="single"/>
    </w:rPr>
  </w:style>
  <w:style w:type="character" w:styleId="103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34">
    <w:name w:val="Book Title"/>
    <w:uiPriority w:val="33"/>
    <w:qFormat/>
    <w:rPr>
      <w:b/>
      <w:bCs/>
      <w:smallCaps/>
      <w:spacing w:val="5"/>
    </w:rPr>
  </w:style>
  <w:style w:type="paragraph" w:styleId="1035">
    <w:name w:val="TOC Heading"/>
    <w:basedOn w:val="814"/>
    <w:next w:val="81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36">
    <w:name w:val="E-mail Signature"/>
    <w:basedOn w:val="813"/>
    <w:link w:val="1037"/>
    <w:uiPriority w:val="99"/>
    <w:unhideWhenUsed/>
    <w:rPr>
      <w:rFonts w:eastAsia="Calibri"/>
      <w:sz w:val="24"/>
      <w:szCs w:val="24"/>
    </w:rPr>
  </w:style>
  <w:style w:type="character" w:styleId="1037" w:customStyle="1">
    <w:name w:val="Электронная подпись Знак"/>
    <w:link w:val="1036"/>
    <w:uiPriority w:val="99"/>
    <w:rPr>
      <w:rFonts w:eastAsia="Calibri"/>
      <w:sz w:val="24"/>
      <w:szCs w:val="24"/>
    </w:rPr>
  </w:style>
  <w:style w:type="paragraph" w:styleId="1038" w:customStyle="1">
    <w:name w:val="Знак"/>
    <w:basedOn w:val="8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9" w:customStyle="1">
    <w:name w:val="Нумерованный список ур3"/>
    <w:basedOn w:val="81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40" w:customStyle="1">
    <w:name w:val="Нумерованный список 1"/>
    <w:basedOn w:val="81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41" w:customStyle="1">
    <w:name w:val="Нумерованный список ур2"/>
    <w:basedOn w:val="81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42">
    <w:name w:val="Revision"/>
    <w:hidden/>
    <w:uiPriority w:val="99"/>
    <w:semiHidden/>
    <w:rPr>
      <w:rFonts w:eastAsia="Calibri"/>
      <w:sz w:val="24"/>
      <w:szCs w:val="24"/>
    </w:rPr>
  </w:style>
  <w:style w:type="paragraph" w:styleId="104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44" w:customStyle="1">
    <w:name w:val="Знак Знак3 Знак Знак"/>
    <w:basedOn w:val="81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45" w:customStyle="1">
    <w:name w:val="Пункт"/>
    <w:basedOn w:val="81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46" w:customStyle="1">
    <w:name w:val="Подпункт Знак1"/>
    <w:link w:val="990"/>
    <w:rPr>
      <w:sz w:val="28"/>
    </w:rPr>
  </w:style>
  <w:style w:type="paragraph" w:styleId="1047" w:customStyle="1">
    <w:name w:val="Абзац списка1"/>
    <w:basedOn w:val="81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48" w:customStyle="1">
    <w:name w:val="Текст сноски Знак"/>
    <w:link w:val="974"/>
  </w:style>
  <w:style w:type="numbering" w:styleId="1049" w:customStyle="1">
    <w:name w:val="Стиль1"/>
    <w:uiPriority w:val="99"/>
    <w:pPr>
      <w:numPr>
        <w:ilvl w:val="0"/>
        <w:numId w:val="3"/>
      </w:numPr>
    </w:pPr>
  </w:style>
  <w:style w:type="paragraph" w:styleId="1050" w:customStyle="1">
    <w:name w:val="Таблица"/>
    <w:basedOn w:val="81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51" w:customStyle="1">
    <w:name w:val="Основной текст Знак"/>
    <w:link w:val="984"/>
    <w:rPr>
      <w:sz w:val="28"/>
      <w:szCs w:val="28"/>
    </w:rPr>
  </w:style>
  <w:style w:type="character" w:styleId="1052" w:customStyle="1">
    <w:name w:val="blk"/>
  </w:style>
  <w:style w:type="numbering" w:styleId="1053" w:customStyle="1">
    <w:name w:val="Стиль2"/>
    <w:uiPriority w:val="99"/>
    <w:pPr>
      <w:numPr>
        <w:ilvl w:val="0"/>
        <w:numId w:val="5"/>
      </w:numPr>
    </w:pPr>
  </w:style>
  <w:style w:type="paragraph" w:styleId="1054" w:customStyle="1">
    <w:name w:val="Таблица шапка"/>
    <w:basedOn w:val="813"/>
    <w:pPr>
      <w:ind w:left="57" w:right="57"/>
      <w:keepNext/>
      <w:spacing w:before="40" w:after="40"/>
    </w:pPr>
    <w:rPr>
      <w:sz w:val="22"/>
      <w:szCs w:val="26"/>
    </w:rPr>
  </w:style>
  <w:style w:type="character" w:styleId="1055" w:customStyle="1">
    <w:name w:val="Абзац списка Знак"/>
    <w:link w:val="1025"/>
    <w:uiPriority w:val="34"/>
    <w:rPr>
      <w:rFonts w:eastAsia="Calibri"/>
      <w:sz w:val="24"/>
      <w:szCs w:val="24"/>
    </w:rPr>
  </w:style>
  <w:style w:type="character" w:styleId="1056" w:customStyle="1">
    <w:name w:val="комментарий"/>
    <w:rPr>
      <w:b/>
      <w:i/>
      <w:shd w:val="clear" w:color="auto" w:fill="ffff99"/>
    </w:rPr>
  </w:style>
  <w:style w:type="paragraph" w:styleId="1057" w:customStyle="1">
    <w:name w:val="Подподпункт"/>
    <w:basedOn w:val="990"/>
    <w:link w:val="105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58" w:customStyle="1">
    <w:name w:val="Подподпункт Знак"/>
    <w:link w:val="1057"/>
    <w:rPr>
      <w:sz w:val="26"/>
      <w:szCs w:val="26"/>
    </w:rPr>
  </w:style>
  <w:style w:type="paragraph" w:styleId="1059" w:customStyle="1">
    <w:name w:val="УРОВЕНЬ_(а)"/>
    <w:basedOn w:val="102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60" w:customStyle="1">
    <w:name w:val="УРОВЕНЬ_-"/>
    <w:basedOn w:val="102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61" w:customStyle="1">
    <w:name w:val="УРОВЕНЬ_Абзац_тип2"/>
    <w:basedOn w:val="102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62" w:customStyle="1">
    <w:name w:val="УРОВЕНЬ_Абзац_тип3"/>
    <w:basedOn w:val="1025"/>
    <w:link w:val="106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63" w:customStyle="1">
    <w:name w:val="УРОВЕНЬ_Подпись"/>
    <w:basedOn w:val="102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64" w:customStyle="1">
    <w:name w:val="УРОВЕНЬ_Абзац_тип3 Знак"/>
    <w:link w:val="1062"/>
    <w:rPr>
      <w:rFonts w:eastAsia="Calibri"/>
      <w:sz w:val="26"/>
      <w:szCs w:val="28"/>
      <w:lang w:eastAsia="en-US"/>
    </w:rPr>
  </w:style>
  <w:style w:type="character" w:styleId="1065" w:customStyle="1">
    <w:name w:val="Верхний колонтитул Знак"/>
    <w:link w:val="980"/>
    <w:uiPriority w:val="99"/>
    <w:rPr>
      <w:sz w:val="24"/>
      <w:szCs w:val="24"/>
    </w:rPr>
  </w:style>
  <w:style w:type="character" w:styleId="1066" w:customStyle="1">
    <w:name w:val="Текст примечания Знак"/>
    <w:link w:val="1001"/>
  </w:style>
  <w:style w:type="paragraph" w:styleId="1067" w:customStyle="1">
    <w:name w:val="Стиль Заголовок 1 + по ширине"/>
    <w:basedOn w:val="81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68">
    <w:name w:val="endnote text"/>
    <w:basedOn w:val="813"/>
    <w:link w:val="1069"/>
    <w:rPr>
      <w:sz w:val="20"/>
      <w:szCs w:val="20"/>
    </w:rPr>
  </w:style>
  <w:style w:type="character" w:styleId="1069" w:customStyle="1">
    <w:name w:val="Текст концевой сноски Знак"/>
    <w:basedOn w:val="823"/>
    <w:link w:val="1068"/>
  </w:style>
  <w:style w:type="character" w:styleId="1070">
    <w:name w:val="endnote reference"/>
    <w:basedOn w:val="823"/>
    <w:rPr>
      <w:vertAlign w:val="superscript"/>
    </w:rPr>
  </w:style>
  <w:style w:type="paragraph" w:styleId="1071" w:customStyle="1">
    <w:name w:val="Заголовок 2 КВВ"/>
    <w:basedOn w:val="81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72" w:customStyle="1">
    <w:name w:val="Пункт2 Знак"/>
    <w:link w:val="991"/>
    <w:rPr>
      <w:b/>
      <w:sz w:val="28"/>
    </w:rPr>
  </w:style>
  <w:style w:type="paragraph" w:styleId="1073" w:customStyle="1">
    <w:name w:val="Таблица текст"/>
    <w:basedOn w:val="813"/>
    <w:pPr>
      <w:ind w:left="57" w:right="57"/>
      <w:spacing w:before="40" w:after="40"/>
    </w:pPr>
    <w:rPr>
      <w:sz w:val="24"/>
      <w:szCs w:val="26"/>
    </w:rPr>
  </w:style>
  <w:style w:type="paragraph" w:styleId="1074">
    <w:name w:val="Normal (Web)"/>
    <w:basedOn w:val="81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75" w:customStyle="1">
    <w:name w:val="УРОВЕНЬ_1."/>
    <w:basedOn w:val="1025"/>
    <w:link w:val="107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76" w:customStyle="1">
    <w:name w:val="УРОВЕНЬ_1. Знак"/>
    <w:link w:val="1075"/>
    <w:rPr>
      <w:rFonts w:eastAsia="Calibri"/>
      <w:caps/>
      <w:sz w:val="28"/>
      <w:szCs w:val="28"/>
      <w:lang w:eastAsia="en-US"/>
    </w:rPr>
  </w:style>
  <w:style w:type="table" w:styleId="1077" w:customStyle="1">
    <w:name w:val="Сетка таблицы1"/>
    <w:basedOn w:val="824"/>
    <w:next w:val="982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8">
    <w:name w:val="toc 6"/>
    <w:basedOn w:val="813"/>
    <w:next w:val="81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79">
    <w:name w:val="toc 7"/>
    <w:basedOn w:val="813"/>
    <w:next w:val="81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80">
    <w:name w:val="toc 8"/>
    <w:basedOn w:val="813"/>
    <w:next w:val="813"/>
    <w:unhideWhenUsed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comments" Target="comments.xml" /><Relationship Id="rId14" Type="http://schemas.microsoft.com/office/2011/relationships/commentsExtended" Target="commentsExtended.xml" /><Relationship Id="rId15" Type="http://schemas.microsoft.com/office/2018/08/relationships/commentsExtensible" Target="commentsExtensible.xml" /><Relationship Id="rId16" Type="http://schemas.microsoft.com/office/2016/09/relationships/commentsIds" Target="commentsIds.xml" /><Relationship Id="rId17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4FC2-A7BD-4661-A5B0-FD136B9F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khrapataya-ys</cp:lastModifiedBy>
  <cp:revision>70</cp:revision>
  <dcterms:created xsi:type="dcterms:W3CDTF">2021-04-04T11:05:00Z</dcterms:created>
  <dcterms:modified xsi:type="dcterms:W3CDTF">2026-04-16T07:26:15Z</dcterms:modified>
</cp:coreProperties>
</file>